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1A" w:rsidRPr="00005A1A" w:rsidRDefault="00005A1A" w:rsidP="00005A1A">
      <w:pPr>
        <w:jc w:val="center"/>
        <w:rPr>
          <w:rFonts w:hint="cs"/>
          <w:b/>
          <w:bCs/>
          <w:rtl/>
        </w:rPr>
      </w:pPr>
      <w:r w:rsidRPr="00005A1A">
        <w:rPr>
          <w:rFonts w:hint="cs"/>
          <w:b/>
          <w:bCs/>
          <w:rtl/>
        </w:rPr>
        <w:t>واجب تطبيقات 202 حسب</w:t>
      </w:r>
    </w:p>
    <w:p w:rsidR="00675EE1" w:rsidRDefault="001C744A">
      <w:pPr>
        <w:rPr>
          <w:rFonts w:hint="cs"/>
          <w:rtl/>
        </w:rPr>
      </w:pPr>
      <w:r>
        <w:rPr>
          <w:rFonts w:hint="cs"/>
          <w:rtl/>
        </w:rPr>
        <w:t xml:space="preserve">تستخدم الشركة المتحدة لصناعة الأثاث نظام تكاليف الأوامر الإنتاجية، وقد بلغ رصيد حساب مراقبة الأوامر الإنتاجية تحت التشغيل أول الفترة 25,000 ريال (13,000 مواد مباشرة ، 8,000 أجور مباشرة ، 4,000  تكاليف صناعية غير مباشرة محملة ) ، ويمثل هذا الرصيد تكلفة الأمر رقم 101 ، وقد بلغ رصيد حساب مراقبة الأوامر الإنتاجية التامة أول الفترة  30,000 ريال، ويمثل هذا الرصيد تكلفة الأمر رقم 100 ، وخلال الفترة كانت تكاليف المواد المباشرة المنصرفة من المخازن والأجور المباشرة الخاصة بالأوامر على النحو التالي : </w:t>
      </w:r>
    </w:p>
    <w:tbl>
      <w:tblPr>
        <w:tblStyle w:val="a3"/>
        <w:bidiVisual/>
        <w:tblW w:w="0" w:type="auto"/>
        <w:tblInd w:w="-226" w:type="dxa"/>
        <w:tblLook w:val="04A0"/>
      </w:tblPr>
      <w:tblGrid>
        <w:gridCol w:w="1930"/>
        <w:gridCol w:w="1704"/>
        <w:gridCol w:w="1704"/>
        <w:gridCol w:w="1705"/>
        <w:gridCol w:w="1705"/>
      </w:tblGrid>
      <w:tr w:rsidR="001C744A" w:rsidTr="001C744A">
        <w:tc>
          <w:tcPr>
            <w:tcW w:w="1930" w:type="dxa"/>
          </w:tcPr>
          <w:p w:rsidR="001C744A" w:rsidRPr="001C744A" w:rsidRDefault="001C744A" w:rsidP="001C744A">
            <w:pPr>
              <w:rPr>
                <w:rFonts w:hint="cs"/>
                <w:b/>
                <w:bCs/>
                <w:rtl/>
              </w:rPr>
            </w:pPr>
            <w:r w:rsidRPr="001C744A">
              <w:rPr>
                <w:rFonts w:hint="cs"/>
                <w:b/>
                <w:bCs/>
                <w:rtl/>
              </w:rPr>
              <w:t xml:space="preserve">رقم الأمر </w:t>
            </w:r>
          </w:p>
        </w:tc>
        <w:tc>
          <w:tcPr>
            <w:tcW w:w="1704" w:type="dxa"/>
          </w:tcPr>
          <w:p w:rsidR="001C744A" w:rsidRPr="001C744A" w:rsidRDefault="001C744A" w:rsidP="001C744A">
            <w:pPr>
              <w:jc w:val="center"/>
              <w:rPr>
                <w:rFonts w:hint="cs"/>
                <w:b/>
                <w:bCs/>
                <w:rtl/>
              </w:rPr>
            </w:pPr>
            <w:r w:rsidRPr="001C744A">
              <w:rPr>
                <w:rFonts w:hint="cs"/>
                <w:b/>
                <w:bCs/>
                <w:rtl/>
              </w:rPr>
              <w:t>101</w:t>
            </w:r>
          </w:p>
        </w:tc>
        <w:tc>
          <w:tcPr>
            <w:tcW w:w="1704" w:type="dxa"/>
          </w:tcPr>
          <w:p w:rsidR="001C744A" w:rsidRPr="001C744A" w:rsidRDefault="001C744A" w:rsidP="001C744A">
            <w:pPr>
              <w:jc w:val="center"/>
              <w:rPr>
                <w:rFonts w:hint="cs"/>
                <w:b/>
                <w:bCs/>
                <w:rtl/>
              </w:rPr>
            </w:pPr>
            <w:r w:rsidRPr="001C744A">
              <w:rPr>
                <w:rFonts w:hint="cs"/>
                <w:b/>
                <w:bCs/>
                <w:rtl/>
              </w:rPr>
              <w:t>102</w:t>
            </w:r>
          </w:p>
        </w:tc>
        <w:tc>
          <w:tcPr>
            <w:tcW w:w="1705" w:type="dxa"/>
          </w:tcPr>
          <w:p w:rsidR="001C744A" w:rsidRPr="001C744A" w:rsidRDefault="001C744A" w:rsidP="001C744A">
            <w:pPr>
              <w:jc w:val="center"/>
              <w:rPr>
                <w:rFonts w:hint="cs"/>
                <w:b/>
                <w:bCs/>
                <w:rtl/>
              </w:rPr>
            </w:pPr>
            <w:r w:rsidRPr="001C744A">
              <w:rPr>
                <w:rFonts w:hint="cs"/>
                <w:b/>
                <w:bCs/>
                <w:rtl/>
              </w:rPr>
              <w:t>103</w:t>
            </w:r>
          </w:p>
        </w:tc>
        <w:tc>
          <w:tcPr>
            <w:tcW w:w="1705" w:type="dxa"/>
          </w:tcPr>
          <w:p w:rsidR="001C744A" w:rsidRPr="001C744A" w:rsidRDefault="001C744A" w:rsidP="001C744A">
            <w:pPr>
              <w:jc w:val="center"/>
              <w:rPr>
                <w:rFonts w:hint="cs"/>
                <w:b/>
                <w:bCs/>
                <w:rtl/>
              </w:rPr>
            </w:pPr>
            <w:r w:rsidRPr="001C744A">
              <w:rPr>
                <w:rFonts w:hint="cs"/>
                <w:b/>
                <w:bCs/>
                <w:rtl/>
              </w:rPr>
              <w:t>الإجمالي</w:t>
            </w:r>
          </w:p>
        </w:tc>
      </w:tr>
      <w:tr w:rsidR="001C744A" w:rsidTr="001C744A">
        <w:tc>
          <w:tcPr>
            <w:tcW w:w="1930" w:type="dxa"/>
          </w:tcPr>
          <w:p w:rsidR="001C744A" w:rsidRPr="001C744A" w:rsidRDefault="001C744A" w:rsidP="001C744A">
            <w:pPr>
              <w:rPr>
                <w:rFonts w:hint="cs"/>
                <w:b/>
                <w:bCs/>
                <w:rtl/>
              </w:rPr>
            </w:pPr>
            <w:r w:rsidRPr="001C744A">
              <w:rPr>
                <w:rFonts w:hint="cs"/>
                <w:b/>
                <w:bCs/>
                <w:rtl/>
              </w:rPr>
              <w:t>المواد المباشرة (ريال)</w:t>
            </w:r>
          </w:p>
        </w:tc>
        <w:tc>
          <w:tcPr>
            <w:tcW w:w="1704" w:type="dxa"/>
          </w:tcPr>
          <w:p w:rsidR="001C744A" w:rsidRDefault="001C744A" w:rsidP="001C744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4,000</w:t>
            </w:r>
          </w:p>
        </w:tc>
        <w:tc>
          <w:tcPr>
            <w:tcW w:w="1704" w:type="dxa"/>
          </w:tcPr>
          <w:p w:rsidR="001C744A" w:rsidRDefault="001C744A" w:rsidP="001C744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16,000</w:t>
            </w:r>
          </w:p>
        </w:tc>
        <w:tc>
          <w:tcPr>
            <w:tcW w:w="1705" w:type="dxa"/>
          </w:tcPr>
          <w:p w:rsidR="001C744A" w:rsidRDefault="001C744A" w:rsidP="001C744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14,000</w:t>
            </w:r>
          </w:p>
        </w:tc>
        <w:tc>
          <w:tcPr>
            <w:tcW w:w="1705" w:type="dxa"/>
          </w:tcPr>
          <w:p w:rsidR="001C744A" w:rsidRDefault="001C744A" w:rsidP="001C744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34,000</w:t>
            </w:r>
          </w:p>
        </w:tc>
      </w:tr>
      <w:tr w:rsidR="001C744A" w:rsidTr="001C744A">
        <w:trPr>
          <w:trHeight w:val="332"/>
        </w:trPr>
        <w:tc>
          <w:tcPr>
            <w:tcW w:w="1930" w:type="dxa"/>
          </w:tcPr>
          <w:p w:rsidR="001C744A" w:rsidRPr="001C744A" w:rsidRDefault="001C744A">
            <w:pPr>
              <w:rPr>
                <w:rFonts w:hint="cs"/>
                <w:b/>
                <w:bCs/>
                <w:rtl/>
              </w:rPr>
            </w:pPr>
            <w:r w:rsidRPr="001C744A">
              <w:rPr>
                <w:rFonts w:hint="cs"/>
                <w:b/>
                <w:bCs/>
                <w:rtl/>
              </w:rPr>
              <w:t>الأجور المباشرة (ريال)</w:t>
            </w:r>
          </w:p>
        </w:tc>
        <w:tc>
          <w:tcPr>
            <w:tcW w:w="1704" w:type="dxa"/>
          </w:tcPr>
          <w:p w:rsidR="001C744A" w:rsidRDefault="001C744A" w:rsidP="001C744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4,000</w:t>
            </w:r>
          </w:p>
        </w:tc>
        <w:tc>
          <w:tcPr>
            <w:tcW w:w="1704" w:type="dxa"/>
          </w:tcPr>
          <w:p w:rsidR="001C744A" w:rsidRDefault="001C744A" w:rsidP="001C744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6,000</w:t>
            </w:r>
          </w:p>
        </w:tc>
        <w:tc>
          <w:tcPr>
            <w:tcW w:w="1705" w:type="dxa"/>
          </w:tcPr>
          <w:p w:rsidR="001C744A" w:rsidRDefault="001C744A" w:rsidP="001C744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8,000</w:t>
            </w:r>
          </w:p>
        </w:tc>
        <w:tc>
          <w:tcPr>
            <w:tcW w:w="1705" w:type="dxa"/>
          </w:tcPr>
          <w:p w:rsidR="001C744A" w:rsidRDefault="001C744A" w:rsidP="001C744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18,000</w:t>
            </w:r>
          </w:p>
        </w:tc>
      </w:tr>
    </w:tbl>
    <w:p w:rsidR="00005A1A" w:rsidRDefault="00005A1A">
      <w:pPr>
        <w:rPr>
          <w:rFonts w:hint="cs"/>
          <w:rtl/>
        </w:rPr>
      </w:pPr>
    </w:p>
    <w:p w:rsidR="001C744A" w:rsidRDefault="001C744A">
      <w:pPr>
        <w:rPr>
          <w:rFonts w:hint="cs"/>
          <w:rtl/>
        </w:rPr>
      </w:pPr>
      <w:r>
        <w:rPr>
          <w:rFonts w:hint="cs"/>
          <w:rtl/>
        </w:rPr>
        <w:t>اعتادت الشركة تحميل الأوامر الإنتاجية بالتك</w:t>
      </w:r>
      <w:r w:rsidR="00005A1A">
        <w:rPr>
          <w:rFonts w:hint="cs"/>
          <w:rtl/>
        </w:rPr>
        <w:t>اليف الصناعية غير المباشرة على أ</w:t>
      </w:r>
      <w:r>
        <w:rPr>
          <w:rFonts w:hint="cs"/>
          <w:rtl/>
        </w:rPr>
        <w:t>ساس نسبة من الأجور المباشرة، وقد بلغت التكاليف الصناعية غير المباشرة الفعلية 10,000 ريال سددت بشيك، وقد انتهى المصنع من إنتاج الأمرين</w:t>
      </w:r>
      <w:r w:rsidR="00005A1A">
        <w:rPr>
          <w:rFonts w:hint="cs"/>
          <w:rtl/>
        </w:rPr>
        <w:t xml:space="preserve"> رقم 101 ، 102 ، وحولا إلى مخازن الإنتاج التام ، كما باعت الشركة الأمرين رقم 100 ، 101 </w:t>
      </w:r>
    </w:p>
    <w:p w:rsidR="00005A1A" w:rsidRPr="00005A1A" w:rsidRDefault="00005A1A" w:rsidP="00005A1A">
      <w:pPr>
        <w:spacing w:after="0"/>
        <w:rPr>
          <w:rFonts w:hint="cs"/>
          <w:b/>
          <w:bCs/>
          <w:rtl/>
        </w:rPr>
      </w:pPr>
      <w:r w:rsidRPr="00005A1A">
        <w:rPr>
          <w:rFonts w:hint="cs"/>
          <w:b/>
          <w:bCs/>
          <w:rtl/>
        </w:rPr>
        <w:t xml:space="preserve">المطلوب: </w:t>
      </w:r>
    </w:p>
    <w:p w:rsidR="00005A1A" w:rsidRPr="00005A1A" w:rsidRDefault="00005A1A" w:rsidP="00005A1A">
      <w:pPr>
        <w:spacing w:after="0"/>
        <w:rPr>
          <w:rFonts w:hint="cs"/>
          <w:b/>
          <w:bCs/>
          <w:rtl/>
        </w:rPr>
      </w:pPr>
      <w:r w:rsidRPr="00005A1A">
        <w:rPr>
          <w:rFonts w:hint="cs"/>
          <w:b/>
          <w:bCs/>
          <w:rtl/>
        </w:rPr>
        <w:t xml:space="preserve">1- إعداد قائمة التكاليف الصناعية للأوامر الإنتاجية. </w:t>
      </w:r>
    </w:p>
    <w:p w:rsidR="00005A1A" w:rsidRDefault="00005A1A" w:rsidP="00005A1A">
      <w:pPr>
        <w:spacing w:after="0"/>
        <w:rPr>
          <w:rFonts w:hint="cs"/>
          <w:rtl/>
        </w:rPr>
      </w:pPr>
      <w:r w:rsidRPr="00005A1A">
        <w:rPr>
          <w:rFonts w:hint="cs"/>
          <w:b/>
          <w:bCs/>
          <w:rtl/>
        </w:rPr>
        <w:t>2- تحديد فروق التحميل</w:t>
      </w:r>
      <w:r>
        <w:rPr>
          <w:rFonts w:hint="cs"/>
          <w:rtl/>
        </w:rPr>
        <w:t xml:space="preserve">. </w:t>
      </w:r>
    </w:p>
    <w:p w:rsidR="00005A1A" w:rsidRDefault="00005A1A" w:rsidP="00005A1A">
      <w:pPr>
        <w:spacing w:after="0"/>
        <w:rPr>
          <w:rFonts w:hint="cs"/>
          <w:rtl/>
        </w:rPr>
      </w:pPr>
    </w:p>
    <w:p w:rsidR="00005A1A" w:rsidRDefault="00005A1A" w:rsidP="00005A1A">
      <w:pPr>
        <w:pStyle w:val="a4"/>
        <w:numPr>
          <w:ilvl w:val="0"/>
          <w:numId w:val="1"/>
        </w:numPr>
        <w:spacing w:after="0"/>
        <w:rPr>
          <w:rFonts w:hint="cs"/>
        </w:rPr>
      </w:pPr>
      <w:r>
        <w:rPr>
          <w:rFonts w:hint="cs"/>
          <w:rtl/>
        </w:rPr>
        <w:t xml:space="preserve">التسليم </w:t>
      </w:r>
      <w:r w:rsidRPr="00005A1A">
        <w:rPr>
          <w:rFonts w:hint="cs"/>
          <w:u w:val="single"/>
          <w:rtl/>
        </w:rPr>
        <w:t>في محاضرة التطبيقات فقط</w:t>
      </w:r>
      <w:r>
        <w:rPr>
          <w:rFonts w:hint="cs"/>
          <w:rtl/>
        </w:rPr>
        <w:t xml:space="preserve">  بتاريخ :</w:t>
      </w:r>
    </w:p>
    <w:p w:rsidR="00005A1A" w:rsidRDefault="00005A1A" w:rsidP="00005A1A">
      <w:pPr>
        <w:pStyle w:val="a4"/>
        <w:spacing w:after="0"/>
        <w:rPr>
          <w:rFonts w:hint="cs"/>
          <w:rtl/>
        </w:rPr>
      </w:pPr>
      <w:proofErr w:type="spellStart"/>
      <w:r>
        <w:rPr>
          <w:rFonts w:hint="cs"/>
          <w:rtl/>
        </w:rPr>
        <w:t>الإثنين</w:t>
      </w:r>
      <w:proofErr w:type="spellEnd"/>
      <w:r>
        <w:rPr>
          <w:rFonts w:hint="cs"/>
          <w:rtl/>
        </w:rPr>
        <w:t xml:space="preserve"> 28/6/1435 هـ لشعب يوم </w:t>
      </w:r>
      <w:proofErr w:type="spellStart"/>
      <w:r>
        <w:rPr>
          <w:rFonts w:hint="cs"/>
          <w:rtl/>
        </w:rPr>
        <w:t>الإثنين</w:t>
      </w:r>
      <w:proofErr w:type="spellEnd"/>
      <w:r>
        <w:rPr>
          <w:rFonts w:hint="cs"/>
          <w:rtl/>
        </w:rPr>
        <w:t xml:space="preserve"> </w:t>
      </w:r>
    </w:p>
    <w:p w:rsidR="00005A1A" w:rsidRDefault="00005A1A" w:rsidP="00005A1A">
      <w:pPr>
        <w:pStyle w:val="a4"/>
        <w:spacing w:after="0"/>
        <w:rPr>
          <w:rFonts w:hint="cs"/>
          <w:rtl/>
        </w:rPr>
      </w:pPr>
      <w:r>
        <w:rPr>
          <w:rFonts w:hint="cs"/>
          <w:rtl/>
        </w:rPr>
        <w:t xml:space="preserve">الأربعاء 30/6/1435 لشعب يوم الأربعاء </w:t>
      </w:r>
    </w:p>
    <w:p w:rsidR="00005A1A" w:rsidRDefault="00005A1A" w:rsidP="00005A1A">
      <w:pPr>
        <w:pStyle w:val="a4"/>
        <w:spacing w:after="0"/>
        <w:rPr>
          <w:rFonts w:hint="cs"/>
          <w:rtl/>
        </w:rPr>
      </w:pPr>
      <w:r>
        <w:rPr>
          <w:rFonts w:hint="cs"/>
          <w:rtl/>
        </w:rPr>
        <w:t xml:space="preserve">وأعتذر عن استلام أي واجب في غير هذين التاريخين </w:t>
      </w:r>
    </w:p>
    <w:p w:rsidR="00005A1A" w:rsidRDefault="00005A1A" w:rsidP="00005A1A">
      <w:pPr>
        <w:pStyle w:val="a4"/>
        <w:numPr>
          <w:ilvl w:val="0"/>
          <w:numId w:val="1"/>
        </w:numPr>
        <w:spacing w:after="0"/>
        <w:rPr>
          <w:rFonts w:hint="cs"/>
          <w:rtl/>
        </w:rPr>
      </w:pPr>
      <w:r>
        <w:rPr>
          <w:rFonts w:hint="cs"/>
          <w:rtl/>
        </w:rPr>
        <w:t xml:space="preserve">احتفظي بنسخة من حلك لمقارنتها بالحل النموذجي في المحاضرة </w:t>
      </w:r>
    </w:p>
    <w:p w:rsidR="00005A1A" w:rsidRDefault="00005A1A" w:rsidP="00005A1A">
      <w:pPr>
        <w:spacing w:after="0"/>
        <w:rPr>
          <w:rFonts w:hint="cs"/>
          <w:rtl/>
        </w:rPr>
      </w:pPr>
    </w:p>
    <w:p w:rsidR="00005A1A" w:rsidRDefault="00005A1A" w:rsidP="00005A1A">
      <w:pPr>
        <w:spacing w:after="0"/>
        <w:rPr>
          <w:rFonts w:hint="cs"/>
        </w:rPr>
      </w:pPr>
    </w:p>
    <w:sectPr w:rsidR="00005A1A" w:rsidSect="006F731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ED6"/>
    <w:multiLevelType w:val="hybridMultilevel"/>
    <w:tmpl w:val="8604E3F6"/>
    <w:lvl w:ilvl="0" w:tplc="75B2BF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744A"/>
    <w:rsid w:val="00005A1A"/>
    <w:rsid w:val="001C744A"/>
    <w:rsid w:val="00675EE1"/>
    <w:rsid w:val="006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2014-04-25T12:10:00Z</dcterms:created>
  <dcterms:modified xsi:type="dcterms:W3CDTF">2014-04-25T12:29:00Z</dcterms:modified>
</cp:coreProperties>
</file>