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AC3655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AC3655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BE67C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B93181">
        <w:rPr>
          <w:rFonts w:ascii="Times New Roman" w:hAnsi="Times New Roman" w:hint="cs"/>
          <w:b/>
          <w:color w:val="auto"/>
          <w:rtl/>
        </w:rPr>
        <w:t>1435</w:t>
      </w:r>
      <w:r w:rsidR="00F94B43">
        <w:rPr>
          <w:rFonts w:ascii="Times New Roman" w:hAnsi="Times New Roman" w:hint="cs"/>
          <w:b/>
          <w:color w:val="auto"/>
          <w:rtl/>
        </w:rPr>
        <w:t>-1436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9318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 / فوزية عمر بخرجي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93181" w:rsidP="00AC365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="00F94B4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الاثنين </w:t>
            </w:r>
            <w:r w:rsidR="00AC3655">
              <w:rPr>
                <w:rFonts w:ascii="Times New Roman" w:hAnsi="Times New Roman"/>
                <w:bCs/>
                <w:color w:val="auto"/>
                <w:szCs w:val="24"/>
              </w:rPr>
              <w:t>10</w:t>
            </w:r>
            <w:r w:rsidR="00F94B4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11      الاربعاء 9-10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9318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34   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is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9318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bakhorji@gmail.com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1474F0" w:rsidP="00026F4A">
      <w:pPr>
        <w:bidi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>معلومات المقرر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647"/>
        <w:gridCol w:w="1543"/>
      </w:tblGrid>
      <w:tr w:rsidR="00853C77" w:rsidRPr="007E320D" w:rsidTr="001474F0">
        <w:trPr>
          <w:cantSplit/>
          <w:trHeight w:val="47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93181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علم المناخ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1474F0">
        <w:trPr>
          <w:cantSplit/>
          <w:trHeight w:val="47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9318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104 جغر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B93181" w:rsidRPr="007E320D" w:rsidTr="001474F0">
        <w:trPr>
          <w:cantSplit/>
          <w:trHeight w:val="47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181" w:rsidRPr="00AC3655" w:rsidRDefault="00B93181" w:rsidP="00E9168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jc w:val="both"/>
              <w:rPr>
                <w:rStyle w:val="Emphasis"/>
                <w:i w:val="0"/>
                <w:iCs w:val="0"/>
                <w:rtl/>
              </w:rPr>
            </w:pPr>
          </w:p>
          <w:p w:rsidR="00CE23F3" w:rsidRDefault="00CE23F3" w:rsidP="00E9168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jc w:val="both"/>
              <w:rPr>
                <w:rFonts w:ascii="Times New Roman" w:hAnsi="Times New Roman"/>
                <w:rtl/>
              </w:rPr>
            </w:pPr>
            <w:r w:rsidRPr="00AC3655">
              <w:rPr>
                <w:rFonts w:ascii="Traditional Arabic" w:hAnsi="Traditional Arabic" w:cs="Traditional Arabic"/>
                <w:sz w:val="32"/>
                <w:szCs w:val="32"/>
                <w:highlight w:val="yellow"/>
                <w:rtl/>
              </w:rPr>
              <w:t>المناخ</w:t>
            </w:r>
            <w:r w:rsidR="00A0346F" w:rsidRPr="00AC3655">
              <w:rPr>
                <w:rFonts w:ascii="Traditional Arabic" w:hAnsi="Traditional Arabic" w:cs="Traditional Arabic" w:hint="cs"/>
                <w:sz w:val="32"/>
                <w:szCs w:val="32"/>
                <w:highlight w:val="yellow"/>
                <w:rtl/>
              </w:rPr>
              <w:t xml:space="preserve"> </w:t>
            </w:r>
            <w:r w:rsidRPr="00AC3655">
              <w:rPr>
                <w:rStyle w:val="Strong"/>
                <w:rtl/>
              </w:rPr>
              <w:t>وأهميته</w:t>
            </w:r>
            <w:r w:rsidR="00A0346F" w:rsidRPr="00AC3655">
              <w:rPr>
                <w:rFonts w:ascii="Traditional Arabic" w:hAnsi="Traditional Arabic" w:cs="Traditional Arabic" w:hint="cs"/>
                <w:sz w:val="32"/>
                <w:szCs w:val="32"/>
                <w:highlight w:val="yellow"/>
                <w:rtl/>
              </w:rPr>
              <w:t xml:space="preserve"> </w:t>
            </w:r>
            <w:r w:rsidRPr="00AC3655">
              <w:rPr>
                <w:rFonts w:ascii="Traditional Arabic" w:hAnsi="Traditional Arabic" w:cs="Traditional Arabic"/>
                <w:sz w:val="32"/>
                <w:szCs w:val="32"/>
                <w:highlight w:val="yellow"/>
                <w:rtl/>
              </w:rPr>
              <w:t>للمجتمعات</w:t>
            </w:r>
            <w:r w:rsidR="00A0346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البشريةوالبيئةالطبيعيةوعلاقته</w:t>
            </w:r>
            <w:r w:rsidR="00A0346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بالعلوم الاخرى </w:t>
            </w: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ويبرز مكانة الغلاف الجوي بين مكونات نظام الكرة الأرضية والتأثيرات المتبادلة بينه وبينها</w:t>
            </w:r>
          </w:p>
          <w:p w:rsidR="00CE23F3" w:rsidRDefault="00CE23F3" w:rsidP="00E9168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jc w:val="both"/>
              <w:rPr>
                <w:rFonts w:ascii="Times New Roman" w:hAnsi="Times New Roman"/>
                <w:rtl/>
              </w:rPr>
            </w:pP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ويدرس</w:t>
            </w:r>
            <w:r w:rsidR="00A0346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حالات نظام الغلاف الجوي</w:t>
            </w:r>
            <w:r w:rsidR="00A0346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المتمثلةبالطقس</w:t>
            </w:r>
            <w:r w:rsidR="00A0346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والمناخ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مبينا </w:t>
            </w: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تأثير مكونات نظام الكرة الأرضية في تكوينها، و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يبين </w:t>
            </w: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مقاييسها المكانية والزمانية</w:t>
            </w:r>
          </w:p>
          <w:p w:rsidR="00CE23F3" w:rsidRDefault="00A0346F" w:rsidP="00E9168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jc w:val="both"/>
              <w:rPr>
                <w:rFonts w:ascii="Times New Roman" w:hAnsi="Times New Roman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ويتناول المقرر تركيب </w:t>
            </w:r>
            <w:r w:rsidR="00CE23F3"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الغلاف الجوي وبنيته وعناصرالطقس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="00CE23F3"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والمناخا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ت المختلفة مبينا العوامل المؤثرة            </w:t>
            </w:r>
            <w:r w:rsidR="00CE23F3"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ل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ف</w:t>
            </w:r>
            <w:r w:rsidR="00CE23F3"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يهاوالقوانين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="00CE23F3"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الناظمةلهاوطرق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="00CE23F3"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رصدها (قياسها)،وإمكانيةاستغلالبعضهاكمواردطبيعيةمستدامة.</w:t>
            </w:r>
          </w:p>
          <w:p w:rsidR="00CE23F3" w:rsidRDefault="00CE23F3" w:rsidP="00E9168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jc w:val="both"/>
              <w:rPr>
                <w:rFonts w:ascii="Times New Roman" w:hAnsi="Times New Roman"/>
                <w:rtl/>
              </w:rPr>
            </w:pPr>
          </w:p>
          <w:p w:rsidR="00CE23F3" w:rsidRPr="00745BC1" w:rsidRDefault="00CE23F3" w:rsidP="00E9168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jc w:val="both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ويدرس دورة الغلاف الجوي العامة وتأثيرها في توزع مراكز الضغط الجوي ومصادر الكتل الهوائية والأقاليم المناخية الرئيسة في العالم</w:t>
            </w:r>
            <w:r w:rsidR="00AC3655">
              <w:rPr>
                <w:rFonts w:ascii="Traditional Arabic" w:hAnsi="Traditional Arabic" w:cs="Traditional Arabic"/>
                <w:sz w:val="32"/>
                <w:szCs w:val="32"/>
              </w:rPr>
              <w:t xml:space="preserve">                 </w:t>
            </w:r>
          </w:p>
          <w:p w:rsidR="00CE23F3" w:rsidRPr="00CE23F3" w:rsidRDefault="00CE23F3" w:rsidP="00E91683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jc w:val="both"/>
              <w:rPr>
                <w:rFonts w:ascii="Times New Roman" w:hAnsi="Times New Roman"/>
                <w:rtl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3181" w:rsidRPr="007E320D" w:rsidRDefault="00B93181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D23852" w:rsidRPr="005353B9" w:rsidTr="001474F0">
        <w:trPr>
          <w:cantSplit/>
          <w:trHeight w:val="120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852" w:rsidRDefault="00D23852" w:rsidP="003504A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التمييز بين حالا معرفة العلاقة بين نظام الغلاف الجوي و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</w:t>
            </w: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مكونات الأخرى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</w:t>
            </w: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نظام الكرة الأرضية ، ودورها في تشكل حالات الطقس والمناخ.ت الطقس والمناخ ومقاييسها المكانية والزمنية</w:t>
            </w:r>
          </w:p>
          <w:p w:rsidR="00D23852" w:rsidRDefault="00D23852" w:rsidP="003504A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. معرفة عناصر الطقس والمناخ ورموزها وطرق قياسها </w:t>
            </w:r>
            <w:r w:rsidRPr="00745BC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والو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</w:t>
            </w:r>
            <w:r w:rsidRPr="00745BC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دا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</w:t>
            </w: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المستخدمة بقياسها والعوامل المؤثرة فيها</w:t>
            </w:r>
          </w:p>
          <w:p w:rsidR="00D23852" w:rsidRDefault="00D23852" w:rsidP="003504A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. إدراك حالات الطقس اليومية، ومعرفة الحالات المتطرفة والشاذة منها</w:t>
            </w:r>
          </w:p>
          <w:p w:rsidR="00D23852" w:rsidRPr="00745BC1" w:rsidRDefault="00D23852" w:rsidP="003504A6">
            <w:pPr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745BC1">
              <w:rPr>
                <w:rFonts w:ascii="Traditional Arabic" w:hAnsi="Traditional Arabic" w:cs="Traditional Arabic"/>
                <w:sz w:val="32"/>
                <w:szCs w:val="32"/>
                <w:rtl/>
              </w:rPr>
              <w:t>. معرفة توزع مراكز الضغط الجوي ومصادر الكتل الهوائية على سطح الأرض وعلاقتها بدورة الغلاف الجوي العامة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852" w:rsidRPr="00477E53" w:rsidRDefault="00D23852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D23852" w:rsidRPr="005353B9" w:rsidTr="001474F0">
        <w:trPr>
          <w:cantSplit/>
          <w:trHeight w:val="47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852" w:rsidRPr="00745BC1" w:rsidRDefault="00D23852" w:rsidP="00D23852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نعمان شحادة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علم المناخ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1988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852" w:rsidRPr="005A690D" w:rsidRDefault="00D23852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D23852" w:rsidRPr="005353B9" w:rsidTr="001474F0">
        <w:trPr>
          <w:cantSplit/>
          <w:trHeight w:val="55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852" w:rsidRPr="00745BC1" w:rsidRDefault="00D23852" w:rsidP="00D23852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علي موسى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الرصد والتنبوء الجوي -1986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852" w:rsidRPr="005A690D" w:rsidRDefault="00D23852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  <w:tr w:rsidR="00D23852" w:rsidRPr="005353B9" w:rsidTr="001474F0">
        <w:trPr>
          <w:cantSplit/>
          <w:trHeight w:val="55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852" w:rsidRPr="00745BC1" w:rsidRDefault="00D23852" w:rsidP="00D23852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lastRenderedPageBreak/>
              <w:t xml:space="preserve">علي موسى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جغرافية المناخ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2004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852" w:rsidRPr="005A690D" w:rsidRDefault="00D23852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</w:p>
        </w:tc>
      </w:tr>
      <w:tr w:rsidR="00D23852" w:rsidRPr="005353B9" w:rsidTr="001474F0">
        <w:trPr>
          <w:cantSplit/>
          <w:trHeight w:val="55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852" w:rsidRPr="00745BC1" w:rsidRDefault="00D23852" w:rsidP="003504A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852" w:rsidRPr="005A690D" w:rsidRDefault="00D23852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</w:p>
        </w:tc>
      </w:tr>
    </w:tbl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bookmarkStart w:id="0" w:name="_GoBack"/>
            <w:bookmarkEnd w:id="0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D2385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تطبيقات عملية 20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EC0645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يختار افضلها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D2385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كويزات 20 </w:t>
            </w:r>
            <w:r w:rsidR="00EC064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يتم عمل 3 اختبارات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D23852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فصلي 20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D2385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نهائي 40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CE23F3" w:rsidRDefault="003F564D" w:rsidP="00CE23F3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474F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التعريف بالمقرر والانشطة الاكاديمية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تعريف علم المناخ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الفروع الرئيسية لعلم المناخ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474F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المراكز المهمة للرصد العالمي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اصل الغلاف الجوي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تركيب الغلاف الجوي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474F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طبقات الغلاف الجوي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الملوثات الكيميائية للغلاف الجوي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قصير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474F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الاشعاع الشمسي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طيف الاشعاع الشمسي- القوانين الفيزيائية للاشعاع الشمسي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1474F0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474F0" w:rsidP="001474F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انواع الاشعة الشمسية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اثر الغلاف الجوي على الاشعاع الشمسي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1474F0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474F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توزيع الاشعاع الشمسي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اختبار قصير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1474F0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474F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درجة الحرارة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التحليل الاحصائي لدرجة الحرارة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مقاييس درجة الحرارة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1474F0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A0BAC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تسخين الغلاف الجوي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التوزيع الجغرافي لدرجة الحرارة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1474F0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A0BAC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الاختبار الفصلي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1474F0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A0BAC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الضغط الجوي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وحدات قياس الضغط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العوامل الجغرافية المؤثرة في توزيع الضغط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1474F0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EC064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وظائف الرياح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الدورة الهوائية العامة اختبار قصير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1474F0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1474F0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64C1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وظائف بخار الماء- انواع الرطوبة الجوية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1474F0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1474F0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64C15" w:rsidP="00164C15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التكاثف السطحي والعلوي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انظمة المطر وانواعة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1474F0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1474F0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64C1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مراجعة عامة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1474F0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1474F0"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F94B43" w:rsidRPr="005353B9" w:rsidRDefault="00F94B43" w:rsidP="00F94B43">
      <w:pPr>
        <w:bidi/>
        <w:rPr>
          <w:rFonts w:ascii="Times New Roman" w:hAnsi="Times New Roman"/>
          <w:b/>
          <w:color w:val="auto"/>
        </w:rPr>
      </w:pP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A96AE7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DF6" w:rsidRDefault="00523DF6">
      <w:r>
        <w:separator/>
      </w:r>
    </w:p>
  </w:endnote>
  <w:endnote w:type="continuationSeparator" w:id="1">
    <w:p w:rsidR="00523DF6" w:rsidRDefault="00523D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DF6" w:rsidRDefault="00523DF6">
      <w:r>
        <w:separator/>
      </w:r>
    </w:p>
  </w:footnote>
  <w:footnote w:type="continuationSeparator" w:id="1">
    <w:p w:rsidR="00523DF6" w:rsidRDefault="00523D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A2DE8"/>
    <w:rsid w:val="000A41C4"/>
    <w:rsid w:val="001474F0"/>
    <w:rsid w:val="00156FB4"/>
    <w:rsid w:val="001606C9"/>
    <w:rsid w:val="001615DC"/>
    <w:rsid w:val="00164C15"/>
    <w:rsid w:val="00167716"/>
    <w:rsid w:val="00183F69"/>
    <w:rsid w:val="001879B6"/>
    <w:rsid w:val="001A63DB"/>
    <w:rsid w:val="00231BA6"/>
    <w:rsid w:val="00262961"/>
    <w:rsid w:val="003F564D"/>
    <w:rsid w:val="00477E53"/>
    <w:rsid w:val="004A0BAC"/>
    <w:rsid w:val="00523DF6"/>
    <w:rsid w:val="00524EA4"/>
    <w:rsid w:val="005353B9"/>
    <w:rsid w:val="00547203"/>
    <w:rsid w:val="00566AF3"/>
    <w:rsid w:val="005A481C"/>
    <w:rsid w:val="005A690D"/>
    <w:rsid w:val="006061E7"/>
    <w:rsid w:val="00646C30"/>
    <w:rsid w:val="006B7C05"/>
    <w:rsid w:val="006F0D1F"/>
    <w:rsid w:val="007B644B"/>
    <w:rsid w:val="007E320D"/>
    <w:rsid w:val="007F2722"/>
    <w:rsid w:val="00805E88"/>
    <w:rsid w:val="00853C77"/>
    <w:rsid w:val="008841AE"/>
    <w:rsid w:val="00955F5D"/>
    <w:rsid w:val="009D66AC"/>
    <w:rsid w:val="00A0346F"/>
    <w:rsid w:val="00A87D55"/>
    <w:rsid w:val="00A912B5"/>
    <w:rsid w:val="00A96AE7"/>
    <w:rsid w:val="00AC3655"/>
    <w:rsid w:val="00B42097"/>
    <w:rsid w:val="00B63A1D"/>
    <w:rsid w:val="00B93181"/>
    <w:rsid w:val="00BE67CE"/>
    <w:rsid w:val="00C02411"/>
    <w:rsid w:val="00C13C9C"/>
    <w:rsid w:val="00C15B49"/>
    <w:rsid w:val="00C24FD8"/>
    <w:rsid w:val="00CE23F3"/>
    <w:rsid w:val="00CE52F4"/>
    <w:rsid w:val="00D158BC"/>
    <w:rsid w:val="00D23852"/>
    <w:rsid w:val="00D526FF"/>
    <w:rsid w:val="00D74F7A"/>
    <w:rsid w:val="00DB0AB2"/>
    <w:rsid w:val="00DC490B"/>
    <w:rsid w:val="00DC798C"/>
    <w:rsid w:val="00E366D5"/>
    <w:rsid w:val="00E91683"/>
    <w:rsid w:val="00EC0645"/>
    <w:rsid w:val="00EF31B4"/>
    <w:rsid w:val="00F143B2"/>
    <w:rsid w:val="00F3057D"/>
    <w:rsid w:val="00F94B43"/>
    <w:rsid w:val="00FE1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A96AE7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A96AE7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A96AE7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A96AE7"/>
    <w:rPr>
      <w:rFonts w:eastAsia="ヒラギノ角ゴ Pro W3"/>
      <w:color w:val="000000"/>
    </w:rPr>
  </w:style>
  <w:style w:type="paragraph" w:customStyle="1" w:styleId="FreeFormB">
    <w:name w:val="Free Form B"/>
    <w:rsid w:val="00A96AE7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character" w:styleId="Emphasis">
    <w:name w:val="Emphasis"/>
    <w:basedOn w:val="DefaultParagraphFont"/>
    <w:qFormat/>
    <w:locked/>
    <w:rsid w:val="00AC3655"/>
    <w:rPr>
      <w:i/>
      <w:iCs/>
    </w:rPr>
  </w:style>
  <w:style w:type="character" w:styleId="Strong">
    <w:name w:val="Strong"/>
    <w:basedOn w:val="DefaultParagraphFont"/>
    <w:qFormat/>
    <w:locked/>
    <w:rsid w:val="00AC36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DDB050-D57D-416A-849D-F44FC9A9D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CITC</Company>
  <LinksUpToDate>false</LinksUpToDate>
  <CharactersWithSpaces>2999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Mom</cp:lastModifiedBy>
  <cp:revision>2</cp:revision>
  <cp:lastPrinted>2015-01-31T12:47:00Z</cp:lastPrinted>
  <dcterms:created xsi:type="dcterms:W3CDTF">2015-05-30T14:35:00Z</dcterms:created>
  <dcterms:modified xsi:type="dcterms:W3CDTF">2015-05-30T14:35:00Z</dcterms:modified>
</cp:coreProperties>
</file>