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51" w:type="dxa"/>
        <w:tblLook w:val="01E0"/>
      </w:tblPr>
      <w:tblGrid>
        <w:gridCol w:w="2461"/>
        <w:gridCol w:w="3800"/>
        <w:gridCol w:w="2231"/>
      </w:tblGrid>
      <w:tr w:rsidR="000D39D2" w:rsidRPr="00977E4A" w:rsidTr="00E42712">
        <w:trPr>
          <w:jc w:val="center"/>
        </w:trPr>
        <w:tc>
          <w:tcPr>
            <w:tcW w:w="2461" w:type="dxa"/>
          </w:tcPr>
          <w:p w:rsidR="000D39D2" w:rsidRPr="00977E4A" w:rsidRDefault="000D39D2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جامعة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 الملك 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سعود</w:t>
            </w:r>
          </w:p>
        </w:tc>
        <w:tc>
          <w:tcPr>
            <w:tcW w:w="3800" w:type="dxa"/>
            <w:vMerge w:val="restart"/>
            <w:vAlign w:val="center"/>
          </w:tcPr>
          <w:p w:rsidR="000D39D2" w:rsidRPr="00977E4A" w:rsidRDefault="000D39D2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noProof/>
                <w:sz w:val="16"/>
                <w:szCs w:val="16"/>
                <w:rtl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3175</wp:posOffset>
                  </wp:positionV>
                  <wp:extent cx="779145" cy="920750"/>
                  <wp:effectExtent l="19050" t="0" r="1905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1" w:type="dxa"/>
            <w:vAlign w:val="center"/>
          </w:tcPr>
          <w:p w:rsidR="000D39D2" w:rsidRPr="00977E4A" w:rsidRDefault="000D39D2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KING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SAUD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UNIVERSITY</w:t>
                </w:r>
              </w:smartTag>
            </w:smartTag>
          </w:p>
        </w:tc>
      </w:tr>
      <w:tr w:rsidR="000D39D2" w:rsidRPr="00977E4A" w:rsidTr="00E42712">
        <w:trPr>
          <w:jc w:val="center"/>
        </w:trPr>
        <w:tc>
          <w:tcPr>
            <w:tcW w:w="2461" w:type="dxa"/>
          </w:tcPr>
          <w:p w:rsidR="000D39D2" w:rsidRPr="00977E4A" w:rsidRDefault="000D39D2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كلية العلوم</w:t>
            </w:r>
          </w:p>
        </w:tc>
        <w:tc>
          <w:tcPr>
            <w:tcW w:w="0" w:type="auto"/>
            <w:vMerge/>
            <w:vAlign w:val="center"/>
          </w:tcPr>
          <w:p w:rsidR="000D39D2" w:rsidRPr="00977E4A" w:rsidRDefault="000D39D2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9D2" w:rsidRPr="00977E4A" w:rsidRDefault="000D39D2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COLLEGE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SCIENCE</w:t>
                </w:r>
              </w:smartTag>
            </w:smartTag>
          </w:p>
        </w:tc>
      </w:tr>
      <w:tr w:rsidR="000D39D2" w:rsidRPr="00977E4A" w:rsidTr="00E42712">
        <w:trPr>
          <w:jc w:val="center"/>
        </w:trPr>
        <w:tc>
          <w:tcPr>
            <w:tcW w:w="2461" w:type="dxa"/>
          </w:tcPr>
          <w:p w:rsidR="000D39D2" w:rsidRPr="00977E4A" w:rsidRDefault="000D39D2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قسم النبات </w:t>
            </w:r>
          </w:p>
        </w:tc>
        <w:tc>
          <w:tcPr>
            <w:tcW w:w="0" w:type="auto"/>
            <w:vMerge/>
            <w:vAlign w:val="center"/>
          </w:tcPr>
          <w:p w:rsidR="000D39D2" w:rsidRPr="00977E4A" w:rsidRDefault="000D39D2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9D2" w:rsidRPr="00977E4A" w:rsidRDefault="000D39D2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 w:rsidRPr="00977E4A">
              <w:rPr>
                <w:rFonts w:cs="Simplified Arabic"/>
                <w:b/>
                <w:bCs/>
                <w:sz w:val="16"/>
                <w:szCs w:val="16"/>
              </w:rPr>
              <w:t>DEPARTMENT OF BOTANY</w:t>
            </w:r>
          </w:p>
        </w:tc>
      </w:tr>
      <w:tr w:rsidR="000D39D2" w:rsidRPr="00977E4A" w:rsidTr="00E42712">
        <w:trPr>
          <w:trHeight w:val="378"/>
          <w:jc w:val="center"/>
        </w:trPr>
        <w:tc>
          <w:tcPr>
            <w:tcW w:w="2461" w:type="dxa"/>
          </w:tcPr>
          <w:p w:rsidR="000D39D2" w:rsidRPr="00977E4A" w:rsidRDefault="000D39D2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والأحياء الدقيقة</w:t>
            </w:r>
          </w:p>
        </w:tc>
        <w:tc>
          <w:tcPr>
            <w:tcW w:w="0" w:type="auto"/>
            <w:vMerge/>
            <w:vAlign w:val="center"/>
          </w:tcPr>
          <w:p w:rsidR="000D39D2" w:rsidRPr="00977E4A" w:rsidRDefault="000D39D2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9D2" w:rsidRPr="00977E4A" w:rsidRDefault="000D39D2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sz w:val="16"/>
                <w:szCs w:val="16"/>
              </w:rPr>
              <w:t>&amp; MICROBIOLOGY</w:t>
            </w:r>
          </w:p>
        </w:tc>
      </w:tr>
    </w:tbl>
    <w:p w:rsidR="000D39D2" w:rsidRPr="00977E4A" w:rsidRDefault="000D39D2" w:rsidP="000D39D2">
      <w:pPr>
        <w:rPr>
          <w:rFonts w:ascii="Arabic Transparent" w:cs="Arabic Transparent"/>
          <w:b/>
          <w:bCs/>
          <w:sz w:val="16"/>
          <w:szCs w:val="16"/>
          <w:rtl/>
          <w:lang w:bidi="ar-SA"/>
        </w:rPr>
      </w:pPr>
      <w:r w:rsidRPr="00977E4A">
        <w:rPr>
          <w:rFonts w:ascii="Arabic Transparent" w:cs="Arabic Transparent" w:hint="cs"/>
          <w:b/>
          <w:bCs/>
          <w:sz w:val="16"/>
          <w:szCs w:val="16"/>
          <w:rtl/>
          <w:lang w:bidi="ar-SA"/>
        </w:rPr>
        <w:t xml:space="preserve">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</w:tblGrid>
      <w:tr w:rsidR="000D39D2" w:rsidRPr="00EF1BD9" w:rsidTr="00BB48D4">
        <w:trPr>
          <w:trHeight w:val="364"/>
          <w:jc w:val="center"/>
        </w:trPr>
        <w:tc>
          <w:tcPr>
            <w:tcW w:w="6722" w:type="dxa"/>
            <w:shd w:val="clear" w:color="auto" w:fill="E6E6E6"/>
            <w:vAlign w:val="center"/>
          </w:tcPr>
          <w:p w:rsidR="000D39D2" w:rsidRPr="00EF1BD9" w:rsidRDefault="000D39D2" w:rsidP="00BB48D4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مختصر </w:t>
            </w: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توصيف المقرر </w:t>
            </w:r>
          </w:p>
        </w:tc>
      </w:tr>
    </w:tbl>
    <w:p w:rsidR="000D39D2" w:rsidRPr="00453D7A" w:rsidRDefault="000D39D2" w:rsidP="000D39D2">
      <w:pPr>
        <w:rPr>
          <w:rFonts w:cs="AL-Mohanad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4250"/>
      </w:tblGrid>
      <w:tr w:rsidR="000D39D2" w:rsidRPr="00685424" w:rsidTr="00E42712">
        <w:tc>
          <w:tcPr>
            <w:tcW w:w="4249" w:type="dxa"/>
          </w:tcPr>
          <w:p w:rsidR="000D39D2" w:rsidRPr="00685424" w:rsidRDefault="000D39D2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SA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/>
                <w:sz w:val="28"/>
                <w:szCs w:val="28"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الفسيولوجيا العامة للنبات</w:t>
            </w:r>
          </w:p>
        </w:tc>
        <w:tc>
          <w:tcPr>
            <w:tcW w:w="4250" w:type="dxa"/>
          </w:tcPr>
          <w:p w:rsidR="000D39D2" w:rsidRPr="00685424" w:rsidRDefault="000D39D2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رقم المقرر ورمزه: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271 نبت</w:t>
            </w:r>
          </w:p>
        </w:tc>
      </w:tr>
      <w:tr w:rsidR="000D39D2" w:rsidRPr="00685424" w:rsidTr="00E42712">
        <w:tc>
          <w:tcPr>
            <w:tcW w:w="4249" w:type="dxa"/>
          </w:tcPr>
          <w:p w:rsidR="000D39D2" w:rsidRPr="00685424" w:rsidRDefault="000D39D2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المتطلب السابق للمقرر: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102 نبت</w:t>
            </w:r>
          </w:p>
        </w:tc>
        <w:tc>
          <w:tcPr>
            <w:tcW w:w="4250" w:type="dxa"/>
          </w:tcPr>
          <w:p w:rsidR="000D39D2" w:rsidRPr="00685424" w:rsidRDefault="000D39D2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لغة تدريس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اللغة الانجليزية</w:t>
            </w:r>
          </w:p>
        </w:tc>
      </w:tr>
      <w:tr w:rsidR="000D39D2" w:rsidRPr="00685424" w:rsidTr="00E42712">
        <w:tc>
          <w:tcPr>
            <w:tcW w:w="4249" w:type="dxa"/>
          </w:tcPr>
          <w:p w:rsidR="000D39D2" w:rsidRPr="00685424" w:rsidRDefault="000D39D2" w:rsidP="004725F8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مستوى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</w:t>
            </w:r>
            <w:r w:rsidR="004725F8">
              <w:rPr>
                <w:rFonts w:cs="Arabic Transparent" w:hint="cs"/>
                <w:sz w:val="28"/>
                <w:szCs w:val="28"/>
                <w:rtl/>
                <w:lang w:bidi="ar-JO"/>
              </w:rPr>
              <w:t>رابع</w:t>
            </w:r>
          </w:p>
        </w:tc>
        <w:tc>
          <w:tcPr>
            <w:tcW w:w="4250" w:type="dxa"/>
          </w:tcPr>
          <w:p w:rsidR="000D39D2" w:rsidRPr="00685424" w:rsidRDefault="000D39D2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الساعات المعتمدة: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4 ( 3+</w:t>
            </w:r>
            <w:r w:rsidR="004725F8">
              <w:rPr>
                <w:rFonts w:cs="Arabic Transparent" w:hint="cs"/>
                <w:sz w:val="28"/>
                <w:szCs w:val="28"/>
                <w:rtl/>
                <w:lang w:bidi="ar-JO"/>
              </w:rPr>
              <w:t>0+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1 ) </w:t>
            </w:r>
          </w:p>
        </w:tc>
      </w:tr>
    </w:tbl>
    <w:p w:rsidR="000D39D2" w:rsidRPr="007A4106" w:rsidRDefault="000D39D2" w:rsidP="000D39D2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0D39D2" w:rsidRPr="00685424" w:rsidTr="00E42712">
        <w:trPr>
          <w:trHeight w:val="1030"/>
        </w:trPr>
        <w:tc>
          <w:tcPr>
            <w:tcW w:w="4261" w:type="dxa"/>
          </w:tcPr>
          <w:p w:rsidR="000D39D2" w:rsidRPr="00685424" w:rsidRDefault="000D39D2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207FF">
              <w:rPr>
                <w:rFonts w:cs="Simplified Arabic" w:hint="eastAsia"/>
                <w:b/>
                <w:bCs/>
                <w:rtl/>
                <w:lang w:bidi="ar-SA"/>
              </w:rPr>
              <w:t>العلاقات</w:t>
            </w:r>
            <w:r w:rsidRPr="00E207FF">
              <w:rPr>
                <w:rFonts w:cs="Simplified Arabic"/>
                <w:b/>
                <w:bCs/>
                <w:rtl/>
                <w:lang w:bidi="ar-SA"/>
              </w:rPr>
              <w:t xml:space="preserve"> المائية في النبات ، التغذية المعدنية ، أيض وكيمياء </w:t>
            </w:r>
            <w:r w:rsidRPr="00E207FF">
              <w:rPr>
                <w:rFonts w:cs="Simplified Arabic" w:hint="eastAsia"/>
                <w:b/>
                <w:bCs/>
                <w:rtl/>
                <w:lang w:bidi="ar-SA"/>
              </w:rPr>
              <w:t>النبات</w:t>
            </w:r>
            <w:r w:rsidRPr="00E207FF">
              <w:rPr>
                <w:rFonts w:cs="Simplified Arabic"/>
                <w:b/>
                <w:bCs/>
                <w:rtl/>
                <w:lang w:bidi="ar-SA"/>
              </w:rPr>
              <w:t xml:space="preserve"> ، النمو والتميز فسيولوجيا </w:t>
            </w:r>
            <w:r w:rsidRPr="00E207FF">
              <w:rPr>
                <w:rFonts w:cs="Simplified Arabic" w:hint="cs"/>
                <w:b/>
                <w:bCs/>
                <w:rtl/>
                <w:lang w:bidi="ar-SA"/>
              </w:rPr>
              <w:t>الإجهاد</w:t>
            </w:r>
            <w:r w:rsidRPr="00E207FF">
              <w:rPr>
                <w:rFonts w:cs="Simplified Arabic"/>
                <w:b/>
                <w:bCs/>
                <w:rtl/>
                <w:lang w:bidi="ar-SA"/>
              </w:rPr>
              <w:t xml:space="preserve"> ، نقل المواد الغذائية ، البناء</w:t>
            </w:r>
            <w:r w:rsidRPr="00E207FF">
              <w:rPr>
                <w:rFonts w:ascii="Simplified Arabic" w:cs="Simplified Arabic"/>
                <w:b/>
                <w:bCs/>
                <w:rtl/>
              </w:rPr>
              <w:t xml:space="preserve"> </w:t>
            </w:r>
            <w:r w:rsidRPr="00E207FF">
              <w:rPr>
                <w:rFonts w:cs="Simplified Arabic" w:hint="cs"/>
                <w:b/>
                <w:bCs/>
                <w:rtl/>
                <w:lang w:bidi="ar-SA"/>
              </w:rPr>
              <w:t>الإحيائي</w:t>
            </w:r>
            <w:r w:rsidRPr="00E207FF">
              <w:rPr>
                <w:rFonts w:cs="Simplified Arabic"/>
                <w:b/>
                <w:bCs/>
                <w:rtl/>
                <w:lang w:bidi="ar-SA"/>
              </w:rPr>
              <w:t xml:space="preserve"> والتنفس</w:t>
            </w:r>
          </w:p>
        </w:tc>
        <w:tc>
          <w:tcPr>
            <w:tcW w:w="4261" w:type="dxa"/>
          </w:tcPr>
          <w:p w:rsidR="000D39D2" w:rsidRPr="00D565A5" w:rsidRDefault="000D39D2" w:rsidP="00E42712">
            <w:pPr>
              <w:jc w:val="right"/>
              <w:rPr>
                <w:rFonts w:cs="Simplified Arabic"/>
                <w:b/>
                <w:bCs/>
                <w:sz w:val="18"/>
                <w:szCs w:val="18"/>
              </w:rPr>
            </w:pPr>
            <w:r w:rsidRPr="00D565A5">
              <w:rPr>
                <w:rFonts w:cs="Simplified Arabic"/>
                <w:b/>
                <w:bCs/>
                <w:sz w:val="18"/>
                <w:szCs w:val="18"/>
              </w:rPr>
              <w:t xml:space="preserve">Functions of cells components, water relations, minerals nutrition, </w:t>
            </w:r>
            <w:proofErr w:type="gramStart"/>
            <w:r w:rsidRPr="00D565A5">
              <w:rPr>
                <w:rFonts w:cs="Simplified Arabic"/>
                <w:b/>
                <w:bCs/>
                <w:sz w:val="18"/>
                <w:szCs w:val="18"/>
              </w:rPr>
              <w:t>phloem</w:t>
            </w:r>
            <w:proofErr w:type="gramEnd"/>
            <w:r w:rsidRPr="00D565A5">
              <w:rPr>
                <w:rFonts w:cs="Simplified Arabic"/>
                <w:b/>
                <w:bCs/>
                <w:sz w:val="18"/>
                <w:szCs w:val="18"/>
              </w:rPr>
              <w:t xml:space="preserve"> transport.  Amino acids, proteins and enzymes. Photosynthesis, transpiration, metabolism of N</w:t>
            </w:r>
            <w:proofErr w:type="gramStart"/>
            <w:r w:rsidRPr="00D565A5">
              <w:rPr>
                <w:rFonts w:cs="Simplified Arabic"/>
                <w:b/>
                <w:bCs/>
                <w:sz w:val="18"/>
                <w:szCs w:val="18"/>
              </w:rPr>
              <w:t>,S</w:t>
            </w:r>
            <w:proofErr w:type="gramEnd"/>
            <w:r w:rsidRPr="00D565A5">
              <w:rPr>
                <w:rFonts w:cs="Simplified Arabic"/>
                <w:b/>
                <w:bCs/>
                <w:sz w:val="18"/>
                <w:szCs w:val="18"/>
              </w:rPr>
              <w:t xml:space="preserve">, lipids and aromatic compounds.  Growth and differentiation.  </w:t>
            </w:r>
            <w:proofErr w:type="spellStart"/>
            <w:r w:rsidRPr="00D565A5">
              <w:rPr>
                <w:rFonts w:cs="Simplified Arabic"/>
                <w:b/>
                <w:bCs/>
                <w:sz w:val="18"/>
                <w:szCs w:val="18"/>
              </w:rPr>
              <w:t>Phytohormones</w:t>
            </w:r>
            <w:proofErr w:type="spellEnd"/>
            <w:r w:rsidRPr="00D565A5">
              <w:rPr>
                <w:rFonts w:cs="Simplified Arab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565A5">
              <w:rPr>
                <w:rFonts w:cs="Simplified Arabic"/>
                <w:b/>
                <w:bCs/>
                <w:sz w:val="18"/>
                <w:szCs w:val="18"/>
              </w:rPr>
              <w:t>Photomorphogenesis</w:t>
            </w:r>
            <w:proofErr w:type="spellEnd"/>
            <w:r w:rsidRPr="00D565A5">
              <w:rPr>
                <w:rFonts w:cs="Simplified Arabic"/>
                <w:b/>
                <w:bCs/>
                <w:sz w:val="18"/>
                <w:szCs w:val="18"/>
              </w:rPr>
              <w:t xml:space="preserve">, biological clock, photoperiod, </w:t>
            </w:r>
            <w:proofErr w:type="spellStart"/>
            <w:r w:rsidRPr="00D565A5">
              <w:rPr>
                <w:rFonts w:cs="Simplified Arabic"/>
                <w:b/>
                <w:bCs/>
                <w:sz w:val="18"/>
                <w:szCs w:val="18"/>
              </w:rPr>
              <w:t>vernalization</w:t>
            </w:r>
            <w:proofErr w:type="spellEnd"/>
            <w:r w:rsidRPr="00D565A5">
              <w:rPr>
                <w:rFonts w:cs="Simplified Arabic"/>
                <w:b/>
                <w:bCs/>
                <w:sz w:val="18"/>
                <w:szCs w:val="18"/>
              </w:rPr>
              <w:t xml:space="preserve"> and physiological stress. </w:t>
            </w:r>
          </w:p>
          <w:p w:rsidR="000D39D2" w:rsidRPr="00D565A5" w:rsidRDefault="000D39D2" w:rsidP="00E42712">
            <w:pPr>
              <w:jc w:val="right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</w:tbl>
    <w:p w:rsidR="000D39D2" w:rsidRPr="007A4106" w:rsidRDefault="000D39D2" w:rsidP="000D39D2">
      <w:pPr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0D39D2" w:rsidRPr="00685424" w:rsidTr="00E42712">
        <w:tc>
          <w:tcPr>
            <w:tcW w:w="4261" w:type="dxa"/>
          </w:tcPr>
          <w:p w:rsidR="000D39D2" w:rsidRPr="00D565A5" w:rsidRDefault="000D39D2" w:rsidP="00E42712">
            <w:pPr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D565A5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فهم </w:t>
            </w:r>
            <w:r w:rsidRPr="00D565A5">
              <w:rPr>
                <w:rFonts w:cs="Simplified Arabic" w:hint="eastAsia"/>
                <w:b/>
                <w:bCs/>
                <w:sz w:val="20"/>
                <w:szCs w:val="20"/>
                <w:rtl/>
                <w:lang w:bidi="ar-SA"/>
              </w:rPr>
              <w:t>العلاقات</w:t>
            </w:r>
            <w:r w:rsidRPr="00D565A5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 xml:space="preserve"> المائية في النبات</w:t>
            </w:r>
            <w:r w:rsidRPr="00D565A5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وطرق نقل الغذاء</w:t>
            </w:r>
            <w:r w:rsidRPr="00D565A5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وتمثيله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4261" w:type="dxa"/>
          </w:tcPr>
          <w:p w:rsidR="000D39D2" w:rsidRDefault="000D39D2" w:rsidP="00E42712">
            <w:pPr>
              <w:jc w:val="right"/>
            </w:pPr>
            <w:r w:rsidRPr="00ED2B47">
              <w:rPr>
                <w:rFonts w:cs="Simplified Arabic"/>
                <w:b/>
                <w:bCs/>
                <w:sz w:val="18"/>
                <w:szCs w:val="18"/>
              </w:rPr>
              <w:t>Functions of cells components, water relations</w:t>
            </w:r>
            <w:r w:rsidRPr="00D565A5">
              <w:rPr>
                <w:rFonts w:cs="Simplified Arabic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0D39D2" w:rsidRPr="00685424" w:rsidTr="00E42712">
        <w:tc>
          <w:tcPr>
            <w:tcW w:w="4261" w:type="dxa"/>
          </w:tcPr>
          <w:p w:rsidR="000D39D2" w:rsidRPr="00D565A5" w:rsidRDefault="000D39D2" w:rsidP="00E42712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261" w:type="dxa"/>
          </w:tcPr>
          <w:p w:rsidR="000D39D2" w:rsidRDefault="000D39D2" w:rsidP="00E42712">
            <w:pPr>
              <w:jc w:val="right"/>
            </w:pPr>
            <w:r w:rsidRPr="00D565A5">
              <w:rPr>
                <w:rFonts w:cs="Simplified Arabic"/>
                <w:b/>
                <w:bCs/>
                <w:sz w:val="18"/>
                <w:szCs w:val="18"/>
              </w:rPr>
              <w:t>Photosynthesis, transpiration, metabolism</w:t>
            </w:r>
          </w:p>
        </w:tc>
      </w:tr>
      <w:tr w:rsidR="000D39D2" w:rsidRPr="00685424" w:rsidTr="00E42712">
        <w:tc>
          <w:tcPr>
            <w:tcW w:w="4261" w:type="dxa"/>
          </w:tcPr>
          <w:p w:rsidR="000D39D2" w:rsidRPr="00D565A5" w:rsidRDefault="000D39D2" w:rsidP="00E42712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261" w:type="dxa"/>
          </w:tcPr>
          <w:p w:rsidR="000D39D2" w:rsidRDefault="000D39D2" w:rsidP="00E42712"/>
        </w:tc>
      </w:tr>
    </w:tbl>
    <w:p w:rsidR="000D39D2" w:rsidRPr="004C7BA5" w:rsidRDefault="000D39D2" w:rsidP="000D39D2">
      <w:pPr>
        <w:rPr>
          <w:rFonts w:cs="Arabic Transparent"/>
          <w:b/>
          <w:bCs/>
          <w:sz w:val="14"/>
          <w:szCs w:val="14"/>
          <w:u w:val="single"/>
          <w:lang w:bidi="ar-JO"/>
        </w:rPr>
      </w:pPr>
    </w:p>
    <w:p w:rsidR="000D39D2" w:rsidRPr="004C5727" w:rsidRDefault="000D39D2" w:rsidP="000D39D2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0D39D2" w:rsidRPr="007A4106" w:rsidRDefault="000D39D2" w:rsidP="000D39D2">
      <w:pPr>
        <w:rPr>
          <w:rFonts w:cs="Arabic Transparent"/>
          <w:sz w:val="10"/>
          <w:szCs w:val="10"/>
          <w:rtl/>
          <w:lang w:bidi="ar-JO"/>
        </w:rPr>
      </w:pPr>
    </w:p>
    <w:p w:rsidR="000D39D2" w:rsidRDefault="000D39D2" w:rsidP="000D39D2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0D39D2" w:rsidRPr="007A4106" w:rsidRDefault="000D39D2" w:rsidP="000D39D2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4249"/>
      </w:tblGrid>
      <w:tr w:rsidR="000D39D2" w:rsidRPr="00685424" w:rsidTr="00E42712">
        <w:tc>
          <w:tcPr>
            <w:tcW w:w="4250" w:type="dxa"/>
          </w:tcPr>
          <w:p w:rsidR="000D39D2" w:rsidRPr="00685424" w:rsidRDefault="000D39D2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565A5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فهم </w:t>
            </w:r>
            <w:r w:rsidRPr="00D565A5">
              <w:rPr>
                <w:rFonts w:cs="Simplified Arabic" w:hint="eastAsia"/>
                <w:b/>
                <w:bCs/>
                <w:sz w:val="20"/>
                <w:szCs w:val="20"/>
                <w:rtl/>
                <w:lang w:bidi="ar-SA"/>
              </w:rPr>
              <w:t>العلاقات</w:t>
            </w:r>
            <w:r w:rsidRPr="00D565A5">
              <w:rPr>
                <w:rFonts w:cs="Simplified Arabic"/>
                <w:b/>
                <w:bCs/>
                <w:sz w:val="20"/>
                <w:szCs w:val="20"/>
                <w:rtl/>
                <w:lang w:bidi="ar-SA"/>
              </w:rPr>
              <w:t xml:space="preserve"> المائية في النبات</w:t>
            </w:r>
            <w:r w:rsidRPr="00D565A5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وطرق نقل الغذاء</w:t>
            </w:r>
            <w:r w:rsidRPr="00D565A5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وتمثيله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4249" w:type="dxa"/>
          </w:tcPr>
          <w:p w:rsidR="000D39D2" w:rsidRDefault="000D39D2" w:rsidP="00E42712">
            <w:pPr>
              <w:jc w:val="right"/>
            </w:pPr>
            <w:r w:rsidRPr="00ED2B47">
              <w:rPr>
                <w:rFonts w:cs="Simplified Arabic"/>
                <w:b/>
                <w:bCs/>
                <w:sz w:val="18"/>
                <w:szCs w:val="18"/>
              </w:rPr>
              <w:t>Functions of cells components, water relations</w:t>
            </w:r>
            <w:r w:rsidRPr="00D565A5">
              <w:rPr>
                <w:rFonts w:cs="Simplified Arabic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0D39D2" w:rsidRPr="00685424" w:rsidTr="00E42712">
        <w:tc>
          <w:tcPr>
            <w:tcW w:w="4250" w:type="dxa"/>
          </w:tcPr>
          <w:p w:rsidR="000D39D2" w:rsidRPr="00685424" w:rsidRDefault="000D39D2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بالاضافة الى </w:t>
            </w:r>
            <w:r w:rsidRPr="00E207FF">
              <w:rPr>
                <w:rFonts w:cs="Simplified Arabic"/>
                <w:b/>
                <w:bCs/>
                <w:rtl/>
                <w:lang w:bidi="ar-SA"/>
              </w:rPr>
              <w:t xml:space="preserve">البناء </w:t>
            </w:r>
            <w:r w:rsidRPr="00E207FF">
              <w:rPr>
                <w:rFonts w:cs="Simplified Arabic" w:hint="cs"/>
                <w:b/>
                <w:bCs/>
                <w:rtl/>
                <w:lang w:bidi="ar-SA"/>
              </w:rPr>
              <w:t>الإحيائي</w:t>
            </w:r>
            <w:r w:rsidRPr="00E207FF">
              <w:rPr>
                <w:rFonts w:cs="Simplified Arabic"/>
                <w:b/>
                <w:bCs/>
                <w:rtl/>
                <w:lang w:bidi="ar-SA"/>
              </w:rPr>
              <w:t xml:space="preserve"> والتنفس النمو والتميز </w:t>
            </w:r>
          </w:p>
        </w:tc>
        <w:tc>
          <w:tcPr>
            <w:tcW w:w="4249" w:type="dxa"/>
          </w:tcPr>
          <w:p w:rsidR="000D39D2" w:rsidRDefault="000D39D2" w:rsidP="00E42712">
            <w:pPr>
              <w:jc w:val="right"/>
            </w:pPr>
            <w:r w:rsidRPr="00D565A5">
              <w:rPr>
                <w:rFonts w:cs="Simplified Arabic"/>
                <w:b/>
                <w:bCs/>
                <w:sz w:val="18"/>
                <w:szCs w:val="18"/>
              </w:rPr>
              <w:t>Photosynthesis, transpiration, metabolism</w:t>
            </w:r>
            <w:r>
              <w:rPr>
                <w:rFonts w:cs="Simplified Arabic"/>
                <w:b/>
                <w:bCs/>
                <w:sz w:val="18"/>
                <w:szCs w:val="18"/>
              </w:rPr>
              <w:t xml:space="preserve"> &amp; </w:t>
            </w:r>
          </w:p>
        </w:tc>
      </w:tr>
      <w:tr w:rsidR="000D39D2" w:rsidRPr="00685424" w:rsidTr="00E42712">
        <w:tc>
          <w:tcPr>
            <w:tcW w:w="4250" w:type="dxa"/>
          </w:tcPr>
          <w:p w:rsidR="000D39D2" w:rsidRPr="00685424" w:rsidRDefault="000D39D2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207FF">
              <w:rPr>
                <w:rFonts w:cs="Simplified Arabic"/>
                <w:b/>
                <w:bCs/>
                <w:rtl/>
                <w:lang w:bidi="ar-SA"/>
              </w:rPr>
              <w:t xml:space="preserve">فسيولوجيا </w:t>
            </w:r>
            <w:r w:rsidRPr="00E207FF">
              <w:rPr>
                <w:rFonts w:cs="Simplified Arabic" w:hint="cs"/>
                <w:b/>
                <w:bCs/>
                <w:rtl/>
                <w:lang w:bidi="ar-SA"/>
              </w:rPr>
              <w:t>الإجهاد</w:t>
            </w:r>
            <w:r>
              <w:rPr>
                <w:rFonts w:cs="Simplified Arabic"/>
                <w:b/>
                <w:bCs/>
              </w:rPr>
              <w:t>.</w:t>
            </w:r>
          </w:p>
        </w:tc>
        <w:tc>
          <w:tcPr>
            <w:tcW w:w="4249" w:type="dxa"/>
          </w:tcPr>
          <w:p w:rsidR="000D39D2" w:rsidRPr="00685424" w:rsidRDefault="000D39D2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proofErr w:type="gramStart"/>
            <w:r w:rsidRPr="00D565A5">
              <w:rPr>
                <w:rFonts w:cs="Simplified Arabic"/>
                <w:b/>
                <w:bCs/>
                <w:sz w:val="18"/>
                <w:szCs w:val="18"/>
              </w:rPr>
              <w:t>vernalization</w:t>
            </w:r>
            <w:proofErr w:type="spellEnd"/>
            <w:proofErr w:type="gramEnd"/>
            <w:r w:rsidRPr="00D565A5">
              <w:rPr>
                <w:rFonts w:cs="Simplified Arabic"/>
                <w:b/>
                <w:bCs/>
                <w:sz w:val="18"/>
                <w:szCs w:val="18"/>
              </w:rPr>
              <w:t xml:space="preserve"> and physiological stress.</w:t>
            </w:r>
          </w:p>
        </w:tc>
      </w:tr>
    </w:tbl>
    <w:p w:rsidR="000D39D2" w:rsidRPr="004C7BA5" w:rsidRDefault="000D39D2" w:rsidP="000D39D2">
      <w:pPr>
        <w:rPr>
          <w:rFonts w:cs="Arabic Transparent"/>
          <w:b/>
          <w:bCs/>
          <w:sz w:val="16"/>
          <w:szCs w:val="16"/>
          <w:u w:val="single"/>
          <w:lang w:bidi="ar-JO"/>
        </w:rPr>
      </w:pPr>
    </w:p>
    <w:p w:rsidR="000D39D2" w:rsidRPr="004C5727" w:rsidRDefault="000D39D2" w:rsidP="000D39D2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0D39D2" w:rsidRPr="00912E7B" w:rsidRDefault="000D39D2" w:rsidP="000D39D2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0D39D2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0D39D2" w:rsidRPr="00685424" w:rsidRDefault="000D39D2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0D39D2" w:rsidRPr="00685424" w:rsidRDefault="000D39D2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0D39D2" w:rsidRPr="00685424" w:rsidRDefault="000D39D2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0D39D2" w:rsidRPr="00685424" w:rsidRDefault="000D39D2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0D39D2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0D39D2" w:rsidRPr="00685424" w:rsidRDefault="000D39D2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</w:rPr>
              <w:t>Physiology and Behavior of Plants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0D39D2" w:rsidRPr="00685424" w:rsidRDefault="000D39D2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E7488">
              <w:rPr>
                <w:b/>
                <w:bCs/>
              </w:rPr>
              <w:t>Peter Scott  Wiley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0D39D2" w:rsidRPr="00685424" w:rsidRDefault="000D39D2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E7488">
              <w:rPr>
                <w:b/>
                <w:bCs/>
              </w:rPr>
              <w:t>Blackwell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0D39D2" w:rsidRPr="00685424" w:rsidRDefault="000D39D2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E7488">
              <w:rPr>
                <w:b/>
                <w:bCs/>
              </w:rPr>
              <w:t>February 2008</w:t>
            </w:r>
          </w:p>
        </w:tc>
      </w:tr>
    </w:tbl>
    <w:p w:rsidR="00FC4B21" w:rsidRDefault="00FC4B21"/>
    <w:sectPr w:rsidR="00FC4B21" w:rsidSect="003F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9D2"/>
    <w:rsid w:val="000D39D2"/>
    <w:rsid w:val="003F7F7B"/>
    <w:rsid w:val="00433728"/>
    <w:rsid w:val="004725F8"/>
    <w:rsid w:val="00590715"/>
    <w:rsid w:val="00640C97"/>
    <w:rsid w:val="006A45E9"/>
    <w:rsid w:val="00AD4E50"/>
    <w:rsid w:val="00BB48D4"/>
    <w:rsid w:val="00BE5BB7"/>
    <w:rsid w:val="00D55890"/>
    <w:rsid w:val="00DB0510"/>
    <w:rsid w:val="00F620EC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D2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User</cp:lastModifiedBy>
  <cp:revision>5</cp:revision>
  <dcterms:created xsi:type="dcterms:W3CDTF">2010-07-05T16:42:00Z</dcterms:created>
  <dcterms:modified xsi:type="dcterms:W3CDTF">2011-06-07T05:30:00Z</dcterms:modified>
</cp:coreProperties>
</file>