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E40" w:rsidRDefault="007F0144">
      <w:pPr>
        <w:ind w:left="-397" w:firstLine="510"/>
        <w:rPr>
          <w:b/>
        </w:rPr>
      </w:pPr>
      <w:bookmarkStart w:id="0" w:name="_GoBack"/>
      <w:bookmarkEnd w:id="0"/>
      <w:r>
        <w:rPr>
          <w:b/>
          <w:rtl/>
        </w:rPr>
        <w:t xml:space="preserve">كلية إدارة الأعمال  </w:t>
      </w:r>
    </w:p>
    <w:p w:rsidR="00C46E40" w:rsidRDefault="007F0144">
      <w:pPr>
        <w:ind w:left="-397" w:firstLine="510"/>
        <w:rPr>
          <w:b/>
        </w:rPr>
      </w:pPr>
      <w:r>
        <w:rPr>
          <w:b/>
          <w:rtl/>
        </w:rPr>
        <w:t>قسم الإدارة العامة</w:t>
      </w:r>
    </w:p>
    <w:p w:rsidR="00C46E40" w:rsidRDefault="007F0144">
      <w:pPr>
        <w:ind w:left="-397" w:firstLine="510"/>
        <w:rPr>
          <w:b/>
        </w:rPr>
      </w:pPr>
      <w:r>
        <w:rPr>
          <w:b/>
          <w:rtl/>
        </w:rPr>
        <w:t>برنامج الماجستير التنفيذي</w:t>
      </w:r>
    </w:p>
    <w:p w:rsidR="00C46E40" w:rsidRDefault="007F0144">
      <w:pPr>
        <w:tabs>
          <w:tab w:val="left" w:pos="6506"/>
        </w:tabs>
        <w:jc w:val="center"/>
        <w:rPr>
          <w:b/>
          <w:sz w:val="28"/>
          <w:szCs w:val="28"/>
        </w:rPr>
      </w:pPr>
      <w:r>
        <w:rPr>
          <w:b/>
          <w:sz w:val="28"/>
          <w:szCs w:val="28"/>
          <w:rtl/>
        </w:rPr>
        <w:t xml:space="preserve">خطة مقرر (501 درع ت) </w:t>
      </w:r>
    </w:p>
    <w:p w:rsidR="00C46E40" w:rsidRDefault="007F0144">
      <w:pPr>
        <w:tabs>
          <w:tab w:val="left" w:pos="6506"/>
        </w:tabs>
        <w:jc w:val="center"/>
        <w:rPr>
          <w:b/>
          <w:sz w:val="28"/>
          <w:szCs w:val="28"/>
        </w:rPr>
      </w:pPr>
      <w:r>
        <w:rPr>
          <w:b/>
          <w:sz w:val="28"/>
          <w:szCs w:val="28"/>
          <w:rtl/>
        </w:rPr>
        <w:t>(أخلاقيات الإدارة العامة والحوكمة)</w:t>
      </w:r>
    </w:p>
    <w:p w:rsidR="00C46E40" w:rsidRDefault="007F0144">
      <w:pPr>
        <w:tabs>
          <w:tab w:val="left" w:pos="6506"/>
        </w:tabs>
        <w:jc w:val="both"/>
        <w:rPr>
          <w:b/>
          <w:sz w:val="28"/>
          <w:szCs w:val="28"/>
        </w:rPr>
      </w:pPr>
      <w:r>
        <w:rPr>
          <w:b/>
          <w:sz w:val="28"/>
          <w:szCs w:val="28"/>
          <w:rtl/>
        </w:rPr>
        <w:t xml:space="preserve">مقدمة: </w:t>
      </w:r>
    </w:p>
    <w:p w:rsidR="00C46E40" w:rsidRDefault="007F0144">
      <w:pPr>
        <w:tabs>
          <w:tab w:val="left" w:pos="6506"/>
        </w:tabs>
        <w:jc w:val="both"/>
        <w:rPr>
          <w:b/>
          <w:color w:val="000000"/>
          <w:sz w:val="32"/>
          <w:szCs w:val="32"/>
        </w:rPr>
      </w:pPr>
      <w:bookmarkStart w:id="1" w:name="_gjdgxs" w:colFirst="0" w:colLast="0"/>
      <w:bookmarkEnd w:id="1"/>
      <w:r>
        <w:rPr>
          <w:rFonts w:ascii="Arial" w:eastAsia="Arial" w:hAnsi="Arial" w:cs="Arial"/>
          <w:b/>
          <w:color w:val="000000"/>
          <w:rtl/>
        </w:rPr>
        <w:t xml:space="preserve">يهدف هذا المقرر إلى تعريف الطلبة بأخلاقيات الإدارة عموماً، وأخلاقيات الوظيفة العامة بوجه خاص، وفي أنظمة المملكة </w:t>
      </w:r>
      <w:r>
        <w:rPr>
          <w:rFonts w:ascii="Arial" w:eastAsia="Arial" w:hAnsi="Arial" w:cs="Arial"/>
          <w:b/>
          <w:color w:val="000000"/>
          <w:rtl/>
        </w:rPr>
        <w:t xml:space="preserve">العربية السعودية، وإطلاع الطلبة على المعايير الأخلاقية والسلوكية المرغوبة (المثلى) التي يجب أن يتقيد بها الموظف العام في أي مجال من مجالات العمل الحكومي، وإكسابهم الوعي بالمواقف ذات المشكلات والمآزق والمعضلات الأخلاقية، وتزويدهم بالمهارات والأدوات الفكرية </w:t>
      </w:r>
      <w:r>
        <w:rPr>
          <w:rFonts w:ascii="Arial" w:eastAsia="Arial" w:hAnsi="Arial" w:cs="Arial"/>
          <w:b/>
          <w:color w:val="000000"/>
          <w:rtl/>
        </w:rPr>
        <w:t>والإدارية التي تساعدهم على تحليلها، وكيفية كشف ومواجهة حالات الفساد الإداري، وبما يؤدي إلى حماية وصيانة أخلاقيات الوظيفة العامة، وتعزيز التزام الطالب/ الطالبة بها في نفسه، وفي حياته، وفي عمله بعد التخرج، وحث الآخرين على التحلي بالسلوكيات الفاضلة وحماية الن</w:t>
      </w:r>
      <w:r>
        <w:rPr>
          <w:rFonts w:ascii="Arial" w:eastAsia="Arial" w:hAnsi="Arial" w:cs="Arial"/>
          <w:b/>
          <w:color w:val="000000"/>
          <w:rtl/>
        </w:rPr>
        <w:t>زاهة في المجتمع بشكل عام. هذا بالإضافة إلى تزويد الطالب بالمفاهيم الأساسية الأساسية حول الحوكمة وكيفية تطبيقها في الجهاز الحكومي بالمملكة العربية السعودية.</w:t>
      </w:r>
      <w:r>
        <w:rPr>
          <w:b/>
          <w:color w:val="000000"/>
          <w:sz w:val="32"/>
          <w:szCs w:val="32"/>
        </w:rPr>
        <w:t xml:space="preserve"> </w:t>
      </w:r>
    </w:p>
    <w:p w:rsidR="00C46E40" w:rsidRDefault="007F0144">
      <w:pPr>
        <w:tabs>
          <w:tab w:val="left" w:pos="6506"/>
        </w:tabs>
        <w:jc w:val="both"/>
        <w:rPr>
          <w:b/>
          <w:sz w:val="28"/>
          <w:szCs w:val="28"/>
          <w:u w:val="single"/>
        </w:rPr>
      </w:pPr>
      <w:r>
        <w:rPr>
          <w:b/>
          <w:sz w:val="28"/>
          <w:szCs w:val="28"/>
          <w:u w:val="single"/>
          <w:rtl/>
        </w:rPr>
        <w:t xml:space="preserve">المتوقع من الطالب: </w:t>
      </w:r>
    </w:p>
    <w:p w:rsidR="00C46E40" w:rsidRDefault="007F0144">
      <w:pPr>
        <w:tabs>
          <w:tab w:val="left" w:pos="6506"/>
        </w:tabs>
        <w:jc w:val="both"/>
        <w:rPr>
          <w:b/>
        </w:rPr>
      </w:pPr>
      <w:r>
        <w:rPr>
          <w:b/>
          <w:rtl/>
        </w:rPr>
        <w:t>الانتظام بالحضور والاستعداد بالقراءة المعمقة للموضوعات المخصصة لكل محاضرة، وربط</w:t>
      </w:r>
      <w:r>
        <w:rPr>
          <w:b/>
          <w:rtl/>
        </w:rPr>
        <w:t xml:space="preserve">ها بواقع الجهاز الإداري السعودي، وكذلك المشاركة الفاعلة والحيوية والمنضبطة في النقاش أثناء المحاضرة سواء بإثارة الأسئلة أو بالمداخلة والتعقيب أو إيراد أمثلة وحالات واقعية تتعلق بموضوع المحاضرة. </w:t>
      </w:r>
    </w:p>
    <w:p w:rsidR="00C46E40" w:rsidRDefault="007F0144">
      <w:pPr>
        <w:tabs>
          <w:tab w:val="left" w:pos="6506"/>
        </w:tabs>
        <w:jc w:val="both"/>
        <w:rPr>
          <w:b/>
          <w:sz w:val="28"/>
          <w:szCs w:val="28"/>
          <w:u w:val="single"/>
        </w:rPr>
      </w:pPr>
      <w:r>
        <w:rPr>
          <w:b/>
          <w:sz w:val="28"/>
          <w:szCs w:val="28"/>
          <w:u w:val="single"/>
          <w:rtl/>
        </w:rPr>
        <w:t xml:space="preserve">المراجع: </w:t>
      </w:r>
    </w:p>
    <w:p w:rsidR="00C46E40" w:rsidRDefault="007F0144">
      <w:pPr>
        <w:numPr>
          <w:ilvl w:val="0"/>
          <w:numId w:val="3"/>
        </w:numPr>
        <w:pBdr>
          <w:top w:val="nil"/>
          <w:left w:val="nil"/>
          <w:bottom w:val="nil"/>
          <w:right w:val="nil"/>
          <w:between w:val="nil"/>
        </w:pBdr>
        <w:tabs>
          <w:tab w:val="left" w:pos="926"/>
        </w:tabs>
        <w:contextualSpacing/>
        <w:jc w:val="both"/>
        <w:rPr>
          <w:b/>
          <w:color w:val="000000"/>
        </w:rPr>
      </w:pPr>
      <w:r>
        <w:rPr>
          <w:b/>
          <w:color w:val="000000"/>
          <w:rtl/>
        </w:rPr>
        <w:t>نجم، عبود نجم. (2013م). أخلاقيات الإدارة في عالم مت</w:t>
      </w:r>
      <w:r>
        <w:rPr>
          <w:b/>
          <w:color w:val="000000"/>
          <w:rtl/>
        </w:rPr>
        <w:t xml:space="preserve">غير. المنظمة العربية للتنمية الإدارية. </w:t>
      </w:r>
    </w:p>
    <w:p w:rsidR="00C46E40" w:rsidRDefault="007F0144">
      <w:pPr>
        <w:numPr>
          <w:ilvl w:val="0"/>
          <w:numId w:val="3"/>
        </w:numPr>
        <w:pBdr>
          <w:top w:val="nil"/>
          <w:left w:val="nil"/>
          <w:bottom w:val="nil"/>
          <w:right w:val="nil"/>
          <w:between w:val="nil"/>
        </w:pBdr>
        <w:tabs>
          <w:tab w:val="left" w:pos="926"/>
        </w:tabs>
        <w:contextualSpacing/>
        <w:jc w:val="both"/>
        <w:rPr>
          <w:b/>
          <w:color w:val="000000"/>
        </w:rPr>
      </w:pPr>
      <w:r>
        <w:rPr>
          <w:b/>
          <w:color w:val="000000"/>
          <w:rtl/>
        </w:rPr>
        <w:t xml:space="preserve">بيرك، رونالد وآخرون. الجريمة والفساد في المنظمات. (2015). (ترجمة عبد الله الوقداني). الرياض: معهد الإدارة العامة.                                                                                                       </w:t>
      </w:r>
      <w:r>
        <w:rPr>
          <w:b/>
          <w:color w:val="000000"/>
          <w:rtl/>
        </w:rPr>
        <w:t xml:space="preserve">                                                                                                                                 </w:t>
      </w:r>
    </w:p>
    <w:p w:rsidR="00C46E40" w:rsidRDefault="007F0144">
      <w:pPr>
        <w:numPr>
          <w:ilvl w:val="0"/>
          <w:numId w:val="3"/>
        </w:numPr>
        <w:pBdr>
          <w:top w:val="nil"/>
          <w:left w:val="nil"/>
          <w:bottom w:val="nil"/>
          <w:right w:val="nil"/>
          <w:between w:val="nil"/>
        </w:pBdr>
        <w:tabs>
          <w:tab w:val="left" w:pos="926"/>
        </w:tabs>
        <w:contextualSpacing/>
        <w:jc w:val="both"/>
        <w:rPr>
          <w:b/>
          <w:color w:val="000000"/>
        </w:rPr>
      </w:pPr>
      <w:r>
        <w:rPr>
          <w:b/>
          <w:color w:val="000000"/>
          <w:rtl/>
        </w:rPr>
        <w:t>جيم، شافريتز؛ البرت, هايد؛ باركس, ساندراج.(2009م). مؤلفات كلاسيكية في الإدارة العامة. الرياض معهد الإدارة. فقط مقالة (وترجيت و</w:t>
      </w:r>
      <w:r>
        <w:rPr>
          <w:b/>
          <w:color w:val="000000"/>
          <w:rtl/>
        </w:rPr>
        <w:t>الحكومة المسئولة، فريدريك موشر) ص421.</w:t>
      </w:r>
    </w:p>
    <w:p w:rsidR="00C46E40" w:rsidRDefault="007F0144">
      <w:pPr>
        <w:numPr>
          <w:ilvl w:val="0"/>
          <w:numId w:val="3"/>
        </w:numPr>
        <w:pBdr>
          <w:top w:val="nil"/>
          <w:left w:val="nil"/>
          <w:bottom w:val="nil"/>
          <w:right w:val="nil"/>
          <w:between w:val="nil"/>
        </w:pBdr>
        <w:tabs>
          <w:tab w:val="left" w:pos="926"/>
        </w:tabs>
        <w:contextualSpacing/>
        <w:jc w:val="both"/>
        <w:rPr>
          <w:b/>
          <w:color w:val="000000"/>
        </w:rPr>
      </w:pPr>
      <w:r>
        <w:rPr>
          <w:b/>
          <w:color w:val="000000"/>
          <w:rtl/>
        </w:rPr>
        <w:t>بسام، البسام. الحوكمة في القطاع العام. (2016). الرياض: معهد الادارة العامة.</w:t>
      </w:r>
    </w:p>
    <w:p w:rsidR="00C46E40" w:rsidRDefault="007F0144">
      <w:pPr>
        <w:numPr>
          <w:ilvl w:val="0"/>
          <w:numId w:val="3"/>
        </w:numPr>
        <w:pBdr>
          <w:top w:val="nil"/>
          <w:left w:val="nil"/>
          <w:bottom w:val="nil"/>
          <w:right w:val="nil"/>
          <w:between w:val="nil"/>
        </w:pBdr>
        <w:tabs>
          <w:tab w:val="left" w:pos="926"/>
        </w:tabs>
        <w:contextualSpacing/>
        <w:jc w:val="both"/>
        <w:rPr>
          <w:b/>
          <w:color w:val="000000"/>
        </w:rPr>
      </w:pPr>
      <w:r>
        <w:rPr>
          <w:b/>
          <w:color w:val="000000"/>
          <w:rtl/>
        </w:rPr>
        <w:t>السكارنة، بلال .(2008م). أخلاقيات العمل. عمان: دار المسيرة.</w:t>
      </w:r>
    </w:p>
    <w:p w:rsidR="00C46E40" w:rsidRDefault="007F0144">
      <w:pPr>
        <w:numPr>
          <w:ilvl w:val="0"/>
          <w:numId w:val="3"/>
        </w:numPr>
        <w:pBdr>
          <w:top w:val="nil"/>
          <w:left w:val="nil"/>
          <w:bottom w:val="nil"/>
          <w:right w:val="nil"/>
          <w:between w:val="nil"/>
        </w:pBdr>
        <w:tabs>
          <w:tab w:val="left" w:pos="926"/>
        </w:tabs>
        <w:contextualSpacing/>
        <w:jc w:val="both"/>
        <w:rPr>
          <w:b/>
          <w:color w:val="000000"/>
        </w:rPr>
      </w:pPr>
      <w:r>
        <w:rPr>
          <w:b/>
          <w:color w:val="000000"/>
          <w:rtl/>
        </w:rPr>
        <w:t>الغامدي، سعيد بن ناصر. (2010م). اخلاقيات العمل: ضرورة تنموية ومصلحة شرعية. رابطة ا</w:t>
      </w:r>
      <w:r>
        <w:rPr>
          <w:b/>
          <w:color w:val="000000"/>
          <w:rtl/>
        </w:rPr>
        <w:t>لعالم الاسلامي. (نسخة الكترونية في الانترنت).</w:t>
      </w:r>
    </w:p>
    <w:p w:rsidR="00C46E40" w:rsidRDefault="007F0144">
      <w:pPr>
        <w:numPr>
          <w:ilvl w:val="0"/>
          <w:numId w:val="3"/>
        </w:numPr>
        <w:pBdr>
          <w:top w:val="nil"/>
          <w:left w:val="nil"/>
          <w:bottom w:val="nil"/>
          <w:right w:val="nil"/>
          <w:between w:val="nil"/>
        </w:pBdr>
        <w:tabs>
          <w:tab w:val="left" w:pos="926"/>
        </w:tabs>
        <w:contextualSpacing/>
        <w:jc w:val="both"/>
        <w:rPr>
          <w:b/>
          <w:color w:val="000000"/>
        </w:rPr>
      </w:pPr>
      <w:r>
        <w:rPr>
          <w:b/>
          <w:color w:val="000000"/>
          <w:rtl/>
        </w:rPr>
        <w:t>النفيعي، ضيف الله .(2000). نفخ الصافرة واستراتيجيات التعامل معها، الإداري، ع82, سبتمبر. (نسخة الكترونية متاحة في الانترنت).</w:t>
      </w:r>
    </w:p>
    <w:p w:rsidR="00C46E40" w:rsidRDefault="007F0144">
      <w:pPr>
        <w:numPr>
          <w:ilvl w:val="0"/>
          <w:numId w:val="3"/>
        </w:numPr>
        <w:pBdr>
          <w:top w:val="nil"/>
          <w:left w:val="nil"/>
          <w:bottom w:val="nil"/>
          <w:right w:val="nil"/>
          <w:between w:val="nil"/>
        </w:pBdr>
        <w:tabs>
          <w:tab w:val="left" w:pos="926"/>
        </w:tabs>
        <w:contextualSpacing/>
        <w:jc w:val="both"/>
        <w:rPr>
          <w:b/>
          <w:color w:val="000000"/>
        </w:rPr>
      </w:pPr>
      <w:r>
        <w:rPr>
          <w:b/>
          <w:color w:val="000000"/>
          <w:rtl/>
        </w:rPr>
        <w:t>نظام الخدمة المدنية السعودي 1397م + لائحة الواجبات الوظيفية (نسخة الكترونية متاحة في ا</w:t>
      </w:r>
      <w:r>
        <w:rPr>
          <w:b/>
          <w:color w:val="000000"/>
          <w:rtl/>
        </w:rPr>
        <w:t>لانترنت).</w:t>
      </w:r>
    </w:p>
    <w:p w:rsidR="00C46E40" w:rsidRDefault="007F0144">
      <w:pPr>
        <w:numPr>
          <w:ilvl w:val="0"/>
          <w:numId w:val="3"/>
        </w:numPr>
        <w:pBdr>
          <w:top w:val="nil"/>
          <w:left w:val="nil"/>
          <w:bottom w:val="nil"/>
          <w:right w:val="nil"/>
          <w:between w:val="nil"/>
        </w:pBdr>
        <w:tabs>
          <w:tab w:val="left" w:pos="926"/>
        </w:tabs>
        <w:contextualSpacing/>
        <w:jc w:val="both"/>
        <w:rPr>
          <w:b/>
          <w:color w:val="000000"/>
        </w:rPr>
      </w:pPr>
      <w:r>
        <w:rPr>
          <w:b/>
          <w:color w:val="000000"/>
          <w:rtl/>
        </w:rPr>
        <w:t xml:space="preserve">الاستراتيجية الوطنية لمكافحة الفساد في السعودية. </w:t>
      </w:r>
    </w:p>
    <w:p w:rsidR="00C46E40" w:rsidRDefault="007F0144">
      <w:pPr>
        <w:numPr>
          <w:ilvl w:val="0"/>
          <w:numId w:val="3"/>
        </w:numPr>
        <w:pBdr>
          <w:top w:val="nil"/>
          <w:left w:val="nil"/>
          <w:bottom w:val="nil"/>
          <w:right w:val="nil"/>
          <w:between w:val="nil"/>
        </w:pBdr>
        <w:tabs>
          <w:tab w:val="left" w:pos="926"/>
        </w:tabs>
        <w:contextualSpacing/>
        <w:jc w:val="both"/>
        <w:rPr>
          <w:b/>
          <w:color w:val="000000"/>
        </w:rPr>
      </w:pPr>
      <w:r>
        <w:rPr>
          <w:b/>
          <w:color w:val="000000"/>
          <w:rtl/>
        </w:rPr>
        <w:t>مدونة السلوك الوظيفي في الجهاز الحكومي السعودي، وغيرها من مدونات السلوك الأخلاقي في المنظمات العامة في العالم العربي.</w:t>
      </w:r>
    </w:p>
    <w:p w:rsidR="00C46E40" w:rsidRDefault="007F0144">
      <w:pPr>
        <w:tabs>
          <w:tab w:val="left" w:pos="926"/>
        </w:tabs>
        <w:ind w:left="360"/>
        <w:jc w:val="both"/>
        <w:rPr>
          <w:b/>
        </w:rPr>
      </w:pPr>
      <w:r>
        <w:rPr>
          <w:b/>
        </w:rPr>
        <w:t xml:space="preserve"> </w:t>
      </w:r>
    </w:p>
    <w:p w:rsidR="00C46E40" w:rsidRDefault="007F0144">
      <w:pPr>
        <w:tabs>
          <w:tab w:val="left" w:pos="6506"/>
        </w:tabs>
        <w:jc w:val="both"/>
        <w:rPr>
          <w:b/>
          <w:sz w:val="28"/>
          <w:szCs w:val="28"/>
        </w:rPr>
      </w:pPr>
      <w:r>
        <w:rPr>
          <w:b/>
          <w:sz w:val="28"/>
          <w:szCs w:val="28"/>
          <w:u w:val="single"/>
          <w:rtl/>
        </w:rPr>
        <w:t>نظام التقييم</w:t>
      </w:r>
      <w:r>
        <w:rPr>
          <w:b/>
          <w:sz w:val="28"/>
          <w:szCs w:val="28"/>
        </w:rPr>
        <w:t>:</w:t>
      </w:r>
    </w:p>
    <w:p w:rsidR="00C46E40" w:rsidRDefault="007F0144">
      <w:pPr>
        <w:numPr>
          <w:ilvl w:val="0"/>
          <w:numId w:val="5"/>
        </w:numPr>
        <w:pBdr>
          <w:top w:val="nil"/>
          <w:left w:val="nil"/>
          <w:bottom w:val="nil"/>
          <w:right w:val="nil"/>
          <w:between w:val="nil"/>
        </w:pBdr>
        <w:contextualSpacing/>
        <w:rPr>
          <w:b/>
          <w:color w:val="000000"/>
        </w:rPr>
      </w:pPr>
      <w:r>
        <w:rPr>
          <w:b/>
          <w:color w:val="000000"/>
          <w:rtl/>
        </w:rPr>
        <w:t xml:space="preserve">الحضور والمشاركة الفاعلة (15 درجة). ويحرم الطالب/ </w:t>
      </w:r>
      <w:r>
        <w:rPr>
          <w:b/>
          <w:color w:val="000000"/>
          <w:rtl/>
        </w:rPr>
        <w:t>الطالبة من الامتحان النهائي إذا تجاوزت نسبة الغياب (25%)من المحاضرات.</w:t>
      </w:r>
    </w:p>
    <w:p w:rsidR="00C46E40" w:rsidRDefault="007F0144">
      <w:pPr>
        <w:numPr>
          <w:ilvl w:val="0"/>
          <w:numId w:val="5"/>
        </w:numPr>
        <w:pBdr>
          <w:top w:val="nil"/>
          <w:left w:val="nil"/>
          <w:bottom w:val="nil"/>
          <w:right w:val="nil"/>
          <w:between w:val="nil"/>
        </w:pBdr>
        <w:contextualSpacing/>
        <w:rPr>
          <w:b/>
          <w:color w:val="000000"/>
        </w:rPr>
      </w:pPr>
      <w:r>
        <w:rPr>
          <w:b/>
          <w:color w:val="000000"/>
          <w:rtl/>
        </w:rPr>
        <w:t>تطوير ومناقشة حالات عملية في أي جانب من جوانب الإدارة الحكومية (25 درجة).</w:t>
      </w:r>
    </w:p>
    <w:p w:rsidR="00C46E40" w:rsidRDefault="007F0144">
      <w:pPr>
        <w:numPr>
          <w:ilvl w:val="0"/>
          <w:numId w:val="5"/>
        </w:numPr>
        <w:pBdr>
          <w:top w:val="nil"/>
          <w:left w:val="nil"/>
          <w:bottom w:val="nil"/>
          <w:right w:val="nil"/>
          <w:between w:val="nil"/>
        </w:pBdr>
        <w:contextualSpacing/>
        <w:rPr>
          <w:b/>
          <w:color w:val="000000"/>
        </w:rPr>
      </w:pPr>
      <w:r>
        <w:rPr>
          <w:b/>
          <w:color w:val="000000"/>
          <w:rtl/>
        </w:rPr>
        <w:t xml:space="preserve">اختبار نصفي (20 درجة). </w:t>
      </w:r>
    </w:p>
    <w:p w:rsidR="00C46E40" w:rsidRDefault="007F0144">
      <w:pPr>
        <w:numPr>
          <w:ilvl w:val="0"/>
          <w:numId w:val="5"/>
        </w:numPr>
        <w:pBdr>
          <w:top w:val="nil"/>
          <w:left w:val="nil"/>
          <w:bottom w:val="nil"/>
          <w:right w:val="nil"/>
          <w:between w:val="nil"/>
        </w:pBdr>
        <w:contextualSpacing/>
        <w:rPr>
          <w:b/>
          <w:color w:val="000000"/>
        </w:rPr>
      </w:pPr>
      <w:r>
        <w:rPr>
          <w:b/>
          <w:color w:val="000000"/>
          <w:rtl/>
        </w:rPr>
        <w:t>اختبار نهائي (40 درجة).</w:t>
      </w:r>
    </w:p>
    <w:p w:rsidR="00C46E40" w:rsidRDefault="00C46E40">
      <w:pPr>
        <w:rPr>
          <w:b/>
        </w:rPr>
      </w:pPr>
    </w:p>
    <w:p w:rsidR="00C46E40" w:rsidRDefault="00C46E40">
      <w:pPr>
        <w:pBdr>
          <w:top w:val="nil"/>
          <w:left w:val="nil"/>
          <w:bottom w:val="nil"/>
          <w:right w:val="nil"/>
          <w:between w:val="nil"/>
        </w:pBdr>
        <w:ind w:left="720" w:hanging="720"/>
        <w:rPr>
          <w:b/>
          <w:color w:val="000000"/>
        </w:rPr>
      </w:pPr>
    </w:p>
    <w:p w:rsidR="00C46E40" w:rsidRDefault="00C46E40">
      <w:pPr>
        <w:pBdr>
          <w:top w:val="nil"/>
          <w:left w:val="nil"/>
          <w:bottom w:val="nil"/>
          <w:right w:val="nil"/>
          <w:between w:val="nil"/>
        </w:pBdr>
        <w:ind w:left="720" w:hanging="720"/>
        <w:rPr>
          <w:b/>
          <w:color w:val="000000"/>
        </w:rPr>
      </w:pPr>
    </w:p>
    <w:p w:rsidR="00C46E40" w:rsidRDefault="00C46E40">
      <w:pPr>
        <w:pBdr>
          <w:top w:val="nil"/>
          <w:left w:val="nil"/>
          <w:bottom w:val="nil"/>
          <w:right w:val="nil"/>
          <w:between w:val="nil"/>
        </w:pBdr>
        <w:ind w:left="720" w:hanging="720"/>
        <w:rPr>
          <w:b/>
          <w:color w:val="000000"/>
        </w:rPr>
      </w:pPr>
    </w:p>
    <w:p w:rsidR="00C46E40" w:rsidRDefault="00C46E40">
      <w:pPr>
        <w:pBdr>
          <w:top w:val="nil"/>
          <w:left w:val="nil"/>
          <w:bottom w:val="nil"/>
          <w:right w:val="nil"/>
          <w:between w:val="nil"/>
        </w:pBdr>
        <w:ind w:left="720" w:hanging="720"/>
        <w:rPr>
          <w:b/>
          <w:color w:val="000000"/>
        </w:rPr>
      </w:pPr>
    </w:p>
    <w:p w:rsidR="00C46E40" w:rsidRDefault="007F0144">
      <w:pPr>
        <w:pBdr>
          <w:top w:val="nil"/>
          <w:left w:val="nil"/>
          <w:bottom w:val="nil"/>
          <w:right w:val="nil"/>
          <w:between w:val="nil"/>
        </w:pBdr>
        <w:tabs>
          <w:tab w:val="left" w:pos="6506"/>
        </w:tabs>
        <w:ind w:left="720" w:hanging="720"/>
        <w:jc w:val="center"/>
        <w:rPr>
          <w:b/>
          <w:color w:val="000000"/>
          <w:sz w:val="32"/>
          <w:szCs w:val="32"/>
        </w:rPr>
      </w:pPr>
      <w:r>
        <w:rPr>
          <w:b/>
          <w:color w:val="000000"/>
          <w:sz w:val="32"/>
          <w:szCs w:val="32"/>
          <w:rtl/>
        </w:rPr>
        <w:t>القراءات الأسبوعية</w:t>
      </w:r>
    </w:p>
    <w:tbl>
      <w:tblPr>
        <w:tblStyle w:val="a0"/>
        <w:bidiVisual/>
        <w:tblW w:w="8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7090"/>
      </w:tblGrid>
      <w:tr w:rsidR="00C46E40">
        <w:tc>
          <w:tcPr>
            <w:tcW w:w="1131" w:type="dxa"/>
            <w:shd w:val="clear" w:color="auto" w:fill="DBEEF3"/>
          </w:tcPr>
          <w:p w:rsidR="00C46E40" w:rsidRDefault="007F0144">
            <w:pPr>
              <w:tabs>
                <w:tab w:val="left" w:pos="6506"/>
              </w:tabs>
              <w:jc w:val="center"/>
              <w:rPr>
                <w:b/>
                <w:sz w:val="28"/>
                <w:szCs w:val="28"/>
              </w:rPr>
            </w:pPr>
            <w:r>
              <w:rPr>
                <w:b/>
                <w:sz w:val="28"/>
                <w:szCs w:val="28"/>
                <w:rtl/>
              </w:rPr>
              <w:t>الأسبوع</w:t>
            </w:r>
          </w:p>
        </w:tc>
        <w:tc>
          <w:tcPr>
            <w:tcW w:w="7090" w:type="dxa"/>
            <w:shd w:val="clear" w:color="auto" w:fill="DBEEF3"/>
          </w:tcPr>
          <w:p w:rsidR="00C46E40" w:rsidRDefault="007F0144">
            <w:pPr>
              <w:tabs>
                <w:tab w:val="left" w:pos="6506"/>
              </w:tabs>
              <w:jc w:val="center"/>
              <w:rPr>
                <w:b/>
                <w:sz w:val="28"/>
                <w:szCs w:val="28"/>
              </w:rPr>
            </w:pPr>
            <w:r>
              <w:rPr>
                <w:b/>
                <w:sz w:val="28"/>
                <w:szCs w:val="28"/>
                <w:rtl/>
              </w:rPr>
              <w:t>الموضوعات</w:t>
            </w:r>
          </w:p>
        </w:tc>
      </w:tr>
      <w:tr w:rsidR="00C46E40">
        <w:tc>
          <w:tcPr>
            <w:tcW w:w="1131" w:type="dxa"/>
          </w:tcPr>
          <w:p w:rsidR="00C46E40" w:rsidRDefault="007F0144">
            <w:pPr>
              <w:tabs>
                <w:tab w:val="left" w:pos="6506"/>
              </w:tabs>
              <w:jc w:val="center"/>
              <w:rPr>
                <w:b/>
                <w:sz w:val="20"/>
                <w:szCs w:val="20"/>
              </w:rPr>
            </w:pPr>
            <w:r>
              <w:rPr>
                <w:b/>
                <w:sz w:val="20"/>
                <w:szCs w:val="20"/>
                <w:rtl/>
              </w:rPr>
              <w:t>الأسبوع (1)</w:t>
            </w:r>
          </w:p>
        </w:tc>
        <w:tc>
          <w:tcPr>
            <w:tcW w:w="7090" w:type="dxa"/>
          </w:tcPr>
          <w:p w:rsidR="00C46E40" w:rsidRDefault="007F0144">
            <w:pPr>
              <w:tabs>
                <w:tab w:val="left" w:pos="6506"/>
              </w:tabs>
              <w:jc w:val="center"/>
              <w:rPr>
                <w:b/>
              </w:rPr>
            </w:pPr>
            <w:r>
              <w:rPr>
                <w:b/>
                <w:rtl/>
              </w:rPr>
              <w:t>تعارف وتعريف بالمقرر ومحتوياته ومتطلباته وطريقة التقييم والتواصل مع أستاذ المقرر ... الخ.</w:t>
            </w:r>
          </w:p>
        </w:tc>
      </w:tr>
      <w:tr w:rsidR="00C46E40">
        <w:tc>
          <w:tcPr>
            <w:tcW w:w="1131" w:type="dxa"/>
          </w:tcPr>
          <w:p w:rsidR="00C46E40" w:rsidRDefault="007F0144">
            <w:pPr>
              <w:tabs>
                <w:tab w:val="left" w:pos="6506"/>
              </w:tabs>
              <w:jc w:val="center"/>
              <w:rPr>
                <w:b/>
                <w:sz w:val="20"/>
                <w:szCs w:val="20"/>
              </w:rPr>
            </w:pPr>
            <w:r>
              <w:rPr>
                <w:b/>
                <w:sz w:val="20"/>
                <w:szCs w:val="20"/>
                <w:rtl/>
              </w:rPr>
              <w:t>الأسبوع (2)</w:t>
            </w:r>
          </w:p>
        </w:tc>
        <w:tc>
          <w:tcPr>
            <w:tcW w:w="7090" w:type="dxa"/>
          </w:tcPr>
          <w:p w:rsidR="00C46E40" w:rsidRDefault="007F0144">
            <w:pPr>
              <w:tabs>
                <w:tab w:val="left" w:pos="6506"/>
              </w:tabs>
              <w:jc w:val="center"/>
              <w:rPr>
                <w:b/>
              </w:rPr>
            </w:pPr>
            <w:r>
              <w:rPr>
                <w:b/>
                <w:rtl/>
              </w:rPr>
              <w:t>مفاهيم أساسية: (مفهوم الأخلاق– العمل - المهنة- الحرفة - الوظيفة العامة - الموظف العام...إلخ)، شروط ومتطلبات أساسية لأي عمل حتى يصبح مهنة.</w:t>
            </w:r>
          </w:p>
        </w:tc>
      </w:tr>
      <w:tr w:rsidR="00C46E40">
        <w:tc>
          <w:tcPr>
            <w:tcW w:w="1131" w:type="dxa"/>
          </w:tcPr>
          <w:p w:rsidR="00C46E40" w:rsidRDefault="007F0144">
            <w:pPr>
              <w:tabs>
                <w:tab w:val="left" w:pos="6506"/>
              </w:tabs>
              <w:jc w:val="center"/>
              <w:rPr>
                <w:b/>
                <w:sz w:val="20"/>
                <w:szCs w:val="20"/>
              </w:rPr>
            </w:pPr>
            <w:r>
              <w:rPr>
                <w:b/>
                <w:sz w:val="20"/>
                <w:szCs w:val="20"/>
                <w:rtl/>
              </w:rPr>
              <w:t>الأسبوع (3)</w:t>
            </w:r>
          </w:p>
        </w:tc>
        <w:tc>
          <w:tcPr>
            <w:tcW w:w="7090" w:type="dxa"/>
          </w:tcPr>
          <w:p w:rsidR="00C46E40" w:rsidRDefault="007F0144">
            <w:pPr>
              <w:tabs>
                <w:tab w:val="left" w:pos="6506"/>
              </w:tabs>
              <w:jc w:val="center"/>
              <w:rPr>
                <w:b/>
              </w:rPr>
            </w:pPr>
            <w:r>
              <w:rPr>
                <w:b/>
                <w:rtl/>
              </w:rPr>
              <w:t>ال</w:t>
            </w:r>
            <w:r>
              <w:rPr>
                <w:b/>
                <w:rtl/>
              </w:rPr>
              <w:t xml:space="preserve">أخلاقيات العامة والأخلاقيات الخاصة للمهن (أخلاقيات الطب - التدريس- القضاء- الإعلام.. إلخ) </w:t>
            </w:r>
          </w:p>
        </w:tc>
      </w:tr>
      <w:tr w:rsidR="00C46E40">
        <w:tc>
          <w:tcPr>
            <w:tcW w:w="1131" w:type="dxa"/>
          </w:tcPr>
          <w:p w:rsidR="00C46E40" w:rsidRDefault="007F0144">
            <w:pPr>
              <w:tabs>
                <w:tab w:val="left" w:pos="6506"/>
              </w:tabs>
              <w:jc w:val="center"/>
              <w:rPr>
                <w:b/>
                <w:sz w:val="20"/>
                <w:szCs w:val="20"/>
              </w:rPr>
            </w:pPr>
            <w:r>
              <w:rPr>
                <w:b/>
                <w:sz w:val="20"/>
                <w:szCs w:val="20"/>
                <w:rtl/>
              </w:rPr>
              <w:lastRenderedPageBreak/>
              <w:t>الأسبوع (4)</w:t>
            </w:r>
          </w:p>
        </w:tc>
        <w:tc>
          <w:tcPr>
            <w:tcW w:w="7090" w:type="dxa"/>
          </w:tcPr>
          <w:p w:rsidR="00C46E40" w:rsidRDefault="007F0144">
            <w:pPr>
              <w:tabs>
                <w:tab w:val="left" w:pos="6506"/>
              </w:tabs>
              <w:jc w:val="center"/>
              <w:rPr>
                <w:b/>
              </w:rPr>
            </w:pPr>
            <w:r>
              <w:rPr>
                <w:b/>
                <w:rtl/>
              </w:rPr>
              <w:t>أخلاقيات الإدارة (المفهوم- الأهمية  – التاريخ – النظريات والمداخل ...الخ).</w:t>
            </w:r>
          </w:p>
        </w:tc>
      </w:tr>
      <w:tr w:rsidR="00C46E40">
        <w:tc>
          <w:tcPr>
            <w:tcW w:w="1131" w:type="dxa"/>
          </w:tcPr>
          <w:p w:rsidR="00C46E40" w:rsidRDefault="007F0144">
            <w:pPr>
              <w:tabs>
                <w:tab w:val="left" w:pos="6506"/>
              </w:tabs>
              <w:jc w:val="center"/>
              <w:rPr>
                <w:b/>
                <w:sz w:val="20"/>
                <w:szCs w:val="20"/>
              </w:rPr>
            </w:pPr>
            <w:r>
              <w:rPr>
                <w:b/>
                <w:sz w:val="20"/>
                <w:szCs w:val="20"/>
                <w:rtl/>
              </w:rPr>
              <w:t>الأسبوع (5)</w:t>
            </w:r>
          </w:p>
        </w:tc>
        <w:tc>
          <w:tcPr>
            <w:tcW w:w="7090" w:type="dxa"/>
          </w:tcPr>
          <w:p w:rsidR="00C46E40" w:rsidRDefault="007F0144">
            <w:pPr>
              <w:tabs>
                <w:tab w:val="left" w:pos="6506"/>
              </w:tabs>
              <w:rPr>
                <w:b/>
              </w:rPr>
            </w:pPr>
            <w:r>
              <w:rPr>
                <w:b/>
                <w:rtl/>
              </w:rPr>
              <w:t>أخلاقيات الإدارة:</w:t>
            </w:r>
          </w:p>
          <w:p w:rsidR="00C46E40" w:rsidRDefault="007F0144">
            <w:pPr>
              <w:numPr>
                <w:ilvl w:val="0"/>
                <w:numId w:val="1"/>
              </w:numPr>
              <w:pBdr>
                <w:top w:val="nil"/>
                <w:left w:val="nil"/>
                <w:bottom w:val="nil"/>
                <w:right w:val="nil"/>
                <w:between w:val="nil"/>
              </w:pBdr>
              <w:tabs>
                <w:tab w:val="left" w:pos="6506"/>
              </w:tabs>
              <w:contextualSpacing/>
              <w:rPr>
                <w:b/>
                <w:color w:val="000000"/>
              </w:rPr>
            </w:pPr>
            <w:r>
              <w:rPr>
                <w:b/>
                <w:color w:val="000000"/>
                <w:rtl/>
              </w:rPr>
              <w:t xml:space="preserve">أسباب ارتكاب السلوكيات غير الأخلاقية </w:t>
            </w:r>
            <w:r>
              <w:rPr>
                <w:b/>
                <w:color w:val="000000"/>
                <w:rtl/>
              </w:rPr>
              <w:t>وآثارها السلبية في المنظمات.</w:t>
            </w:r>
          </w:p>
          <w:p w:rsidR="00C46E40" w:rsidRDefault="007F0144">
            <w:pPr>
              <w:numPr>
                <w:ilvl w:val="0"/>
                <w:numId w:val="1"/>
              </w:numPr>
              <w:pBdr>
                <w:top w:val="nil"/>
                <w:left w:val="nil"/>
                <w:bottom w:val="nil"/>
                <w:right w:val="nil"/>
                <w:between w:val="nil"/>
              </w:pBdr>
              <w:tabs>
                <w:tab w:val="left" w:pos="6506"/>
              </w:tabs>
              <w:contextualSpacing/>
              <w:rPr>
                <w:b/>
                <w:color w:val="000000"/>
              </w:rPr>
            </w:pPr>
            <w:r>
              <w:rPr>
                <w:b/>
                <w:color w:val="000000"/>
                <w:rtl/>
              </w:rPr>
              <w:t>النسبي والمطلق في أخلاقيات الإدارة</w:t>
            </w:r>
          </w:p>
          <w:p w:rsidR="00C46E40" w:rsidRDefault="007F0144">
            <w:pPr>
              <w:numPr>
                <w:ilvl w:val="0"/>
                <w:numId w:val="1"/>
              </w:numPr>
              <w:pBdr>
                <w:top w:val="nil"/>
                <w:left w:val="nil"/>
                <w:bottom w:val="nil"/>
                <w:right w:val="nil"/>
                <w:between w:val="nil"/>
              </w:pBdr>
              <w:tabs>
                <w:tab w:val="left" w:pos="6506"/>
              </w:tabs>
              <w:contextualSpacing/>
              <w:rPr>
                <w:b/>
                <w:color w:val="000000"/>
              </w:rPr>
            </w:pPr>
            <w:r>
              <w:rPr>
                <w:b/>
                <w:color w:val="000000"/>
                <w:rtl/>
              </w:rPr>
              <w:t xml:space="preserve">الكفاءة والفعالية وأخلاقيات الإدارة. </w:t>
            </w:r>
          </w:p>
          <w:p w:rsidR="00C46E40" w:rsidRDefault="007F0144">
            <w:pPr>
              <w:numPr>
                <w:ilvl w:val="0"/>
                <w:numId w:val="1"/>
              </w:numPr>
              <w:pBdr>
                <w:top w:val="nil"/>
                <w:left w:val="nil"/>
                <w:bottom w:val="nil"/>
                <w:right w:val="nil"/>
                <w:between w:val="nil"/>
              </w:pBdr>
              <w:tabs>
                <w:tab w:val="left" w:pos="6506"/>
              </w:tabs>
              <w:contextualSpacing/>
              <w:rPr>
                <w:b/>
                <w:color w:val="000000"/>
              </w:rPr>
            </w:pPr>
            <w:r>
              <w:rPr>
                <w:b/>
                <w:color w:val="000000"/>
                <w:rtl/>
              </w:rPr>
              <w:t>تأثير البيئة الاجتماعية على أخلاقيات الإدارة.</w:t>
            </w:r>
          </w:p>
          <w:p w:rsidR="00C46E40" w:rsidRDefault="007F0144">
            <w:pPr>
              <w:numPr>
                <w:ilvl w:val="0"/>
                <w:numId w:val="1"/>
              </w:numPr>
              <w:pBdr>
                <w:top w:val="nil"/>
                <w:left w:val="nil"/>
                <w:bottom w:val="nil"/>
                <w:right w:val="nil"/>
                <w:between w:val="nil"/>
              </w:pBdr>
              <w:tabs>
                <w:tab w:val="left" w:pos="6506"/>
              </w:tabs>
              <w:contextualSpacing/>
              <w:rPr>
                <w:b/>
                <w:color w:val="000000"/>
              </w:rPr>
            </w:pPr>
            <w:r>
              <w:rPr>
                <w:b/>
                <w:color w:val="000000"/>
                <w:rtl/>
              </w:rPr>
              <w:t>أخلاقيات الإدارة وثقافة المنظمة</w:t>
            </w:r>
          </w:p>
          <w:p w:rsidR="00C46E40" w:rsidRDefault="007F0144">
            <w:pPr>
              <w:numPr>
                <w:ilvl w:val="0"/>
                <w:numId w:val="1"/>
              </w:numPr>
              <w:pBdr>
                <w:top w:val="nil"/>
                <w:left w:val="nil"/>
                <w:bottom w:val="nil"/>
                <w:right w:val="nil"/>
                <w:between w:val="nil"/>
              </w:pBdr>
              <w:tabs>
                <w:tab w:val="left" w:pos="6506"/>
              </w:tabs>
              <w:contextualSpacing/>
              <w:rPr>
                <w:b/>
                <w:color w:val="000000"/>
              </w:rPr>
            </w:pPr>
            <w:r>
              <w:rPr>
                <w:b/>
                <w:color w:val="000000"/>
                <w:rtl/>
              </w:rPr>
              <w:t>دور المديرين في تنمية الالتزام بأخلاقيات الإدارة ... الخ).</w:t>
            </w:r>
          </w:p>
        </w:tc>
      </w:tr>
      <w:tr w:rsidR="00C46E40">
        <w:tc>
          <w:tcPr>
            <w:tcW w:w="1131" w:type="dxa"/>
          </w:tcPr>
          <w:p w:rsidR="00C46E40" w:rsidRDefault="007F0144">
            <w:pPr>
              <w:tabs>
                <w:tab w:val="left" w:pos="6506"/>
              </w:tabs>
              <w:jc w:val="center"/>
              <w:rPr>
                <w:b/>
                <w:sz w:val="20"/>
                <w:szCs w:val="20"/>
              </w:rPr>
            </w:pPr>
            <w:r>
              <w:rPr>
                <w:b/>
                <w:sz w:val="20"/>
                <w:szCs w:val="20"/>
                <w:rtl/>
              </w:rPr>
              <w:t>الأسبوع (6)</w:t>
            </w:r>
          </w:p>
        </w:tc>
        <w:tc>
          <w:tcPr>
            <w:tcW w:w="7090" w:type="dxa"/>
          </w:tcPr>
          <w:p w:rsidR="00C46E40" w:rsidRDefault="007F0144">
            <w:pPr>
              <w:numPr>
                <w:ilvl w:val="0"/>
                <w:numId w:val="2"/>
              </w:numPr>
              <w:pBdr>
                <w:top w:val="nil"/>
                <w:left w:val="nil"/>
                <w:bottom w:val="nil"/>
                <w:right w:val="nil"/>
                <w:between w:val="nil"/>
              </w:pBdr>
              <w:tabs>
                <w:tab w:val="left" w:pos="6506"/>
              </w:tabs>
              <w:contextualSpacing/>
              <w:rPr>
                <w:b/>
                <w:color w:val="000000"/>
              </w:rPr>
            </w:pPr>
            <w:r>
              <w:rPr>
                <w:b/>
                <w:color w:val="000000"/>
                <w:rtl/>
              </w:rPr>
              <w:t>مدونات ومواثيق وأدلة السلوك الأخلاقي (ماهيتها – أهدافها – وظائفها...الخ).</w:t>
            </w:r>
          </w:p>
          <w:p w:rsidR="00C46E40" w:rsidRDefault="007F0144">
            <w:pPr>
              <w:numPr>
                <w:ilvl w:val="0"/>
                <w:numId w:val="2"/>
              </w:numPr>
              <w:pBdr>
                <w:top w:val="nil"/>
                <w:left w:val="nil"/>
                <w:bottom w:val="nil"/>
                <w:right w:val="nil"/>
                <w:between w:val="nil"/>
              </w:pBdr>
              <w:tabs>
                <w:tab w:val="left" w:pos="6506"/>
              </w:tabs>
              <w:contextualSpacing/>
              <w:rPr>
                <w:b/>
                <w:color w:val="000000"/>
              </w:rPr>
            </w:pPr>
            <w:r>
              <w:rPr>
                <w:b/>
                <w:color w:val="000000"/>
                <w:rtl/>
              </w:rPr>
              <w:t>مناقشة مدونة السلوك السعودي.</w:t>
            </w:r>
          </w:p>
          <w:p w:rsidR="00C46E40" w:rsidRDefault="00C46E40">
            <w:pPr>
              <w:tabs>
                <w:tab w:val="left" w:pos="6506"/>
              </w:tabs>
              <w:jc w:val="center"/>
              <w:rPr>
                <w:b/>
              </w:rPr>
            </w:pPr>
          </w:p>
        </w:tc>
      </w:tr>
      <w:tr w:rsidR="00C46E40">
        <w:tc>
          <w:tcPr>
            <w:tcW w:w="1131" w:type="dxa"/>
          </w:tcPr>
          <w:p w:rsidR="00C46E40" w:rsidRDefault="007F0144">
            <w:pPr>
              <w:tabs>
                <w:tab w:val="left" w:pos="6506"/>
              </w:tabs>
              <w:jc w:val="center"/>
              <w:rPr>
                <w:b/>
                <w:sz w:val="20"/>
                <w:szCs w:val="20"/>
              </w:rPr>
            </w:pPr>
            <w:r>
              <w:rPr>
                <w:b/>
                <w:sz w:val="20"/>
                <w:szCs w:val="20"/>
                <w:rtl/>
              </w:rPr>
              <w:t>الأسبوع (7)</w:t>
            </w:r>
          </w:p>
        </w:tc>
        <w:tc>
          <w:tcPr>
            <w:tcW w:w="7090" w:type="dxa"/>
          </w:tcPr>
          <w:p w:rsidR="00C46E40" w:rsidRDefault="007F0144">
            <w:pPr>
              <w:numPr>
                <w:ilvl w:val="0"/>
                <w:numId w:val="4"/>
              </w:numPr>
              <w:pBdr>
                <w:top w:val="nil"/>
                <w:left w:val="nil"/>
                <w:bottom w:val="nil"/>
                <w:right w:val="nil"/>
                <w:between w:val="nil"/>
              </w:pBdr>
              <w:tabs>
                <w:tab w:val="left" w:pos="6506"/>
              </w:tabs>
              <w:contextualSpacing/>
              <w:rPr>
                <w:b/>
                <w:color w:val="000000"/>
              </w:rPr>
            </w:pPr>
            <w:r>
              <w:rPr>
                <w:b/>
                <w:color w:val="000000"/>
                <w:rtl/>
              </w:rPr>
              <w:t>أخلاقيات الوظيفة العامة.</w:t>
            </w:r>
          </w:p>
          <w:p w:rsidR="00C46E40" w:rsidRDefault="007F0144">
            <w:pPr>
              <w:numPr>
                <w:ilvl w:val="0"/>
                <w:numId w:val="4"/>
              </w:numPr>
              <w:pBdr>
                <w:top w:val="nil"/>
                <w:left w:val="nil"/>
                <w:bottom w:val="nil"/>
                <w:right w:val="nil"/>
                <w:between w:val="nil"/>
              </w:pBdr>
              <w:tabs>
                <w:tab w:val="left" w:pos="6506"/>
              </w:tabs>
              <w:contextualSpacing/>
              <w:rPr>
                <w:b/>
                <w:color w:val="000000"/>
              </w:rPr>
            </w:pPr>
            <w:r>
              <w:rPr>
                <w:b/>
                <w:color w:val="000000"/>
                <w:rtl/>
              </w:rPr>
              <w:t>واجبات الموظف العام.</w:t>
            </w:r>
          </w:p>
          <w:p w:rsidR="00C46E40" w:rsidRDefault="007F0144">
            <w:pPr>
              <w:numPr>
                <w:ilvl w:val="0"/>
                <w:numId w:val="4"/>
              </w:numPr>
              <w:pBdr>
                <w:top w:val="nil"/>
                <w:left w:val="nil"/>
                <w:bottom w:val="nil"/>
                <w:right w:val="nil"/>
                <w:between w:val="nil"/>
              </w:pBdr>
              <w:tabs>
                <w:tab w:val="left" w:pos="6506"/>
              </w:tabs>
              <w:contextualSpacing/>
              <w:rPr>
                <w:b/>
                <w:color w:val="000000"/>
              </w:rPr>
            </w:pPr>
            <w:r>
              <w:rPr>
                <w:b/>
                <w:color w:val="000000"/>
                <w:rtl/>
              </w:rPr>
              <w:t>محظورات الموظف العام.</w:t>
            </w:r>
          </w:p>
          <w:p w:rsidR="00C46E40" w:rsidRDefault="007F0144">
            <w:pPr>
              <w:numPr>
                <w:ilvl w:val="0"/>
                <w:numId w:val="4"/>
              </w:numPr>
              <w:pBdr>
                <w:top w:val="nil"/>
                <w:left w:val="nil"/>
                <w:bottom w:val="nil"/>
                <w:right w:val="nil"/>
                <w:between w:val="nil"/>
              </w:pBdr>
              <w:tabs>
                <w:tab w:val="left" w:pos="6506"/>
              </w:tabs>
              <w:contextualSpacing/>
              <w:rPr>
                <w:b/>
                <w:color w:val="000000"/>
              </w:rPr>
            </w:pPr>
            <w:r>
              <w:rPr>
                <w:b/>
                <w:color w:val="000000"/>
                <w:rtl/>
              </w:rPr>
              <w:t xml:space="preserve">نظام الخدمة المدنية السعودي ولوائحه (اللائحة التنفيذية - لائحة </w:t>
            </w:r>
            <w:r>
              <w:rPr>
                <w:b/>
                <w:color w:val="000000"/>
                <w:rtl/>
              </w:rPr>
              <w:t>الواجبات الوظيفية - نظام تأديب الموظفين- نظام مكافحة الرشوة).</w:t>
            </w:r>
          </w:p>
        </w:tc>
      </w:tr>
      <w:tr w:rsidR="00C46E40">
        <w:tc>
          <w:tcPr>
            <w:tcW w:w="1131" w:type="dxa"/>
            <w:shd w:val="clear" w:color="auto" w:fill="FFFFFF"/>
          </w:tcPr>
          <w:p w:rsidR="00C46E40" w:rsidRDefault="007F0144">
            <w:pPr>
              <w:jc w:val="center"/>
              <w:rPr>
                <w:sz w:val="20"/>
                <w:szCs w:val="20"/>
              </w:rPr>
            </w:pPr>
            <w:r>
              <w:rPr>
                <w:b/>
                <w:sz w:val="20"/>
                <w:szCs w:val="20"/>
                <w:rtl/>
              </w:rPr>
              <w:t>الأسبوع (8)</w:t>
            </w:r>
          </w:p>
        </w:tc>
        <w:tc>
          <w:tcPr>
            <w:tcW w:w="7090" w:type="dxa"/>
            <w:shd w:val="clear" w:color="auto" w:fill="FFFFFF"/>
          </w:tcPr>
          <w:p w:rsidR="00C46E40" w:rsidRDefault="007F0144">
            <w:pPr>
              <w:tabs>
                <w:tab w:val="left" w:pos="6506"/>
              </w:tabs>
              <w:jc w:val="center"/>
              <w:rPr>
                <w:b/>
              </w:rPr>
            </w:pPr>
            <w:r>
              <w:rPr>
                <w:b/>
                <w:sz w:val="28"/>
                <w:szCs w:val="28"/>
                <w:rtl/>
              </w:rPr>
              <w:t>الاختبار النصفي</w:t>
            </w:r>
          </w:p>
        </w:tc>
      </w:tr>
      <w:tr w:rsidR="00C46E40">
        <w:tc>
          <w:tcPr>
            <w:tcW w:w="1131" w:type="dxa"/>
          </w:tcPr>
          <w:p w:rsidR="00C46E40" w:rsidRDefault="007F0144">
            <w:pPr>
              <w:jc w:val="center"/>
              <w:rPr>
                <w:sz w:val="20"/>
                <w:szCs w:val="20"/>
              </w:rPr>
            </w:pPr>
            <w:r>
              <w:rPr>
                <w:b/>
                <w:sz w:val="20"/>
                <w:szCs w:val="20"/>
                <w:rtl/>
              </w:rPr>
              <w:t>الأسبوع (9)</w:t>
            </w:r>
          </w:p>
        </w:tc>
        <w:tc>
          <w:tcPr>
            <w:tcW w:w="7090" w:type="dxa"/>
          </w:tcPr>
          <w:p w:rsidR="00C46E40" w:rsidRDefault="007F0144">
            <w:pPr>
              <w:tabs>
                <w:tab w:val="left" w:pos="6506"/>
              </w:tabs>
              <w:jc w:val="center"/>
              <w:rPr>
                <w:b/>
              </w:rPr>
            </w:pPr>
            <w:r>
              <w:rPr>
                <w:b/>
                <w:rtl/>
              </w:rPr>
              <w:t xml:space="preserve">أسلوب نفخ الصافرة </w:t>
            </w:r>
          </w:p>
        </w:tc>
      </w:tr>
      <w:tr w:rsidR="00C46E40">
        <w:tc>
          <w:tcPr>
            <w:tcW w:w="1131" w:type="dxa"/>
          </w:tcPr>
          <w:p w:rsidR="00C46E40" w:rsidRDefault="007F0144">
            <w:pPr>
              <w:jc w:val="center"/>
              <w:rPr>
                <w:sz w:val="20"/>
                <w:szCs w:val="20"/>
              </w:rPr>
            </w:pPr>
            <w:r>
              <w:rPr>
                <w:b/>
                <w:sz w:val="20"/>
                <w:szCs w:val="20"/>
                <w:rtl/>
              </w:rPr>
              <w:t>الأسبوع (10)</w:t>
            </w:r>
          </w:p>
        </w:tc>
        <w:tc>
          <w:tcPr>
            <w:tcW w:w="7090" w:type="dxa"/>
          </w:tcPr>
          <w:p w:rsidR="00C46E40" w:rsidRDefault="007F0144">
            <w:pPr>
              <w:tabs>
                <w:tab w:val="left" w:pos="6506"/>
              </w:tabs>
              <w:jc w:val="center"/>
              <w:rPr>
                <w:b/>
              </w:rPr>
            </w:pPr>
            <w:r>
              <w:rPr>
                <w:b/>
                <w:rtl/>
              </w:rPr>
              <w:t xml:space="preserve">الفساد الإداري </w:t>
            </w:r>
          </w:p>
        </w:tc>
      </w:tr>
      <w:tr w:rsidR="00C46E40">
        <w:tc>
          <w:tcPr>
            <w:tcW w:w="1131" w:type="dxa"/>
          </w:tcPr>
          <w:p w:rsidR="00C46E40" w:rsidRDefault="007F0144">
            <w:pPr>
              <w:jc w:val="center"/>
              <w:rPr>
                <w:sz w:val="20"/>
                <w:szCs w:val="20"/>
              </w:rPr>
            </w:pPr>
            <w:r>
              <w:rPr>
                <w:b/>
                <w:sz w:val="20"/>
                <w:szCs w:val="20"/>
                <w:rtl/>
              </w:rPr>
              <w:t>الأسبوع (11)</w:t>
            </w:r>
          </w:p>
        </w:tc>
        <w:tc>
          <w:tcPr>
            <w:tcW w:w="7090" w:type="dxa"/>
          </w:tcPr>
          <w:p w:rsidR="00C46E40" w:rsidRDefault="007F0144">
            <w:pPr>
              <w:tabs>
                <w:tab w:val="left" w:pos="6506"/>
              </w:tabs>
              <w:jc w:val="center"/>
              <w:rPr>
                <w:b/>
              </w:rPr>
            </w:pPr>
            <w:r>
              <w:rPr>
                <w:b/>
                <w:rtl/>
              </w:rPr>
              <w:t xml:space="preserve">الفساد الإداري </w:t>
            </w:r>
          </w:p>
        </w:tc>
      </w:tr>
      <w:tr w:rsidR="00C46E40">
        <w:tc>
          <w:tcPr>
            <w:tcW w:w="1131" w:type="dxa"/>
          </w:tcPr>
          <w:p w:rsidR="00C46E40" w:rsidRDefault="007F0144">
            <w:pPr>
              <w:jc w:val="center"/>
              <w:rPr>
                <w:sz w:val="20"/>
                <w:szCs w:val="20"/>
              </w:rPr>
            </w:pPr>
            <w:r>
              <w:rPr>
                <w:b/>
                <w:sz w:val="20"/>
                <w:szCs w:val="20"/>
                <w:rtl/>
              </w:rPr>
              <w:t>الأسبوع (12)</w:t>
            </w:r>
          </w:p>
        </w:tc>
        <w:tc>
          <w:tcPr>
            <w:tcW w:w="7090" w:type="dxa"/>
          </w:tcPr>
          <w:p w:rsidR="00C46E40" w:rsidRDefault="007F0144">
            <w:pPr>
              <w:tabs>
                <w:tab w:val="left" w:pos="6506"/>
              </w:tabs>
              <w:jc w:val="center"/>
              <w:rPr>
                <w:b/>
              </w:rPr>
            </w:pPr>
            <w:r>
              <w:rPr>
                <w:b/>
                <w:rtl/>
              </w:rPr>
              <w:t xml:space="preserve">الحوكمة / الحكم الرشيد </w:t>
            </w:r>
          </w:p>
        </w:tc>
      </w:tr>
      <w:tr w:rsidR="00C46E40">
        <w:tc>
          <w:tcPr>
            <w:tcW w:w="1131" w:type="dxa"/>
          </w:tcPr>
          <w:p w:rsidR="00C46E40" w:rsidRDefault="007F0144">
            <w:pPr>
              <w:jc w:val="center"/>
              <w:rPr>
                <w:sz w:val="20"/>
                <w:szCs w:val="20"/>
              </w:rPr>
            </w:pPr>
            <w:r>
              <w:rPr>
                <w:b/>
                <w:sz w:val="20"/>
                <w:szCs w:val="20"/>
                <w:rtl/>
              </w:rPr>
              <w:t>الأسبوع (13)</w:t>
            </w:r>
          </w:p>
        </w:tc>
        <w:tc>
          <w:tcPr>
            <w:tcW w:w="7090" w:type="dxa"/>
          </w:tcPr>
          <w:p w:rsidR="00C46E40" w:rsidRDefault="007F0144">
            <w:pPr>
              <w:jc w:val="center"/>
            </w:pPr>
            <w:r>
              <w:rPr>
                <w:b/>
                <w:rtl/>
              </w:rPr>
              <w:t xml:space="preserve">الحوكمة / الحكم </w:t>
            </w:r>
            <w:r>
              <w:rPr>
                <w:b/>
                <w:rtl/>
              </w:rPr>
              <w:t>الرشيد</w:t>
            </w:r>
          </w:p>
        </w:tc>
      </w:tr>
      <w:tr w:rsidR="00C46E40">
        <w:tc>
          <w:tcPr>
            <w:tcW w:w="1131" w:type="dxa"/>
          </w:tcPr>
          <w:p w:rsidR="00C46E40" w:rsidRDefault="007F0144">
            <w:pPr>
              <w:jc w:val="center"/>
              <w:rPr>
                <w:sz w:val="20"/>
                <w:szCs w:val="20"/>
              </w:rPr>
            </w:pPr>
            <w:r>
              <w:rPr>
                <w:b/>
                <w:sz w:val="20"/>
                <w:szCs w:val="20"/>
                <w:rtl/>
              </w:rPr>
              <w:t>الأسبوع (14)</w:t>
            </w:r>
          </w:p>
        </w:tc>
        <w:tc>
          <w:tcPr>
            <w:tcW w:w="7090" w:type="dxa"/>
          </w:tcPr>
          <w:p w:rsidR="00C46E40" w:rsidRDefault="007F0144">
            <w:pPr>
              <w:jc w:val="center"/>
            </w:pPr>
            <w:r>
              <w:rPr>
                <w:b/>
                <w:rtl/>
              </w:rPr>
              <w:t>الحوكمة / الحكم الرشيد</w:t>
            </w:r>
          </w:p>
        </w:tc>
      </w:tr>
      <w:tr w:rsidR="00C46E40">
        <w:tc>
          <w:tcPr>
            <w:tcW w:w="1131" w:type="dxa"/>
          </w:tcPr>
          <w:p w:rsidR="00C46E40" w:rsidRDefault="007F0144">
            <w:pPr>
              <w:jc w:val="center"/>
              <w:rPr>
                <w:sz w:val="20"/>
                <w:szCs w:val="20"/>
              </w:rPr>
            </w:pPr>
            <w:r>
              <w:rPr>
                <w:b/>
                <w:sz w:val="20"/>
                <w:szCs w:val="20"/>
                <w:rtl/>
              </w:rPr>
              <w:t>الأسبوع (15)</w:t>
            </w:r>
          </w:p>
        </w:tc>
        <w:tc>
          <w:tcPr>
            <w:tcW w:w="7090" w:type="dxa"/>
          </w:tcPr>
          <w:p w:rsidR="00C46E40" w:rsidRDefault="007F0144">
            <w:pPr>
              <w:tabs>
                <w:tab w:val="left" w:pos="6506"/>
              </w:tabs>
              <w:jc w:val="center"/>
              <w:rPr>
                <w:b/>
                <w:sz w:val="28"/>
                <w:szCs w:val="28"/>
              </w:rPr>
            </w:pPr>
            <w:r>
              <w:rPr>
                <w:b/>
                <w:sz w:val="28"/>
                <w:szCs w:val="28"/>
                <w:rtl/>
              </w:rPr>
              <w:t>الاختبار النهائي</w:t>
            </w:r>
          </w:p>
        </w:tc>
      </w:tr>
    </w:tbl>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C46E40">
      <w:pPr>
        <w:jc w:val="center"/>
        <w:rPr>
          <w:rFonts w:ascii="Traditional Arabic" w:eastAsia="Traditional Arabic" w:hAnsi="Traditional Arabic" w:cs="Traditional Arabic"/>
          <w:b/>
          <w:sz w:val="32"/>
          <w:szCs w:val="32"/>
        </w:rPr>
      </w:pPr>
    </w:p>
    <w:p w:rsidR="00C46E40" w:rsidRDefault="007F0144">
      <w:pPr>
        <w:jc w:val="center"/>
        <w:rPr>
          <w:rFonts w:ascii="Traditional Arabic" w:eastAsia="Traditional Arabic" w:hAnsi="Traditional Arabic" w:cs="Traditional Arabic"/>
          <w:b/>
        </w:rPr>
      </w:pPr>
      <w:r>
        <w:rPr>
          <w:rFonts w:ascii="Traditional Arabic" w:eastAsia="Traditional Arabic" w:hAnsi="Traditional Arabic" w:cs="Traditional Arabic"/>
          <w:b/>
          <w:sz w:val="32"/>
          <w:szCs w:val="32"/>
          <w:rtl/>
        </w:rPr>
        <w:t>مع تمنياتي للجميع بالتوفيق والنجاح.</w:t>
      </w:r>
    </w:p>
    <w:sectPr w:rsidR="00C46E40">
      <w:pgSz w:w="11906" w:h="16838"/>
      <w:pgMar w:top="851" w:right="851" w:bottom="851" w:left="851" w:header="709" w:footer="709" w:gutter="0"/>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CF5"/>
    <w:multiLevelType w:val="multilevel"/>
    <w:tmpl w:val="D026F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21168C"/>
    <w:multiLevelType w:val="multilevel"/>
    <w:tmpl w:val="79122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7173D9"/>
    <w:multiLevelType w:val="multilevel"/>
    <w:tmpl w:val="2A648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4B4EFB"/>
    <w:multiLevelType w:val="multilevel"/>
    <w:tmpl w:val="65EA2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82181F"/>
    <w:multiLevelType w:val="multilevel"/>
    <w:tmpl w:val="3EA0F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46E40"/>
    <w:rsid w:val="007F0144"/>
    <w:rsid w:val="00C46E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3D90F-606F-4876-AAD0-BB462B88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pPr>
        <w:bidi/>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51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F9551A"/>
  </w:style>
  <w:style w:type="paragraph" w:styleId="ListParagraph">
    <w:name w:val="List Paragraph"/>
    <w:basedOn w:val="Normal"/>
    <w:uiPriority w:val="34"/>
    <w:qFormat/>
    <w:rsid w:val="00A634FC"/>
    <w:pPr>
      <w:ind w:left="720"/>
      <w:contextualSpacing/>
    </w:pPr>
  </w:style>
  <w:style w:type="character" w:customStyle="1" w:styleId="ArialSimplifiedArabic142">
    <w:name w:val="نمط (لاتيني) Arial (العربية وغيرها) Simplified Arabic ‏14 نقطة...2"/>
    <w:rsid w:val="00247F53"/>
    <w:rPr>
      <w:rFonts w:ascii="Arial" w:hAnsi="Arial" w:cs="Traditional Arabic"/>
      <w:bCs w:val="0"/>
      <w:iCs w:val="0"/>
      <w:color w:val="000000"/>
      <w:sz w:val="28"/>
      <w:szCs w:val="28"/>
    </w:rPr>
  </w:style>
  <w:style w:type="paragraph" w:styleId="NormalWeb">
    <w:name w:val="Normal (Web)"/>
    <w:basedOn w:val="Normal"/>
    <w:uiPriority w:val="99"/>
    <w:semiHidden/>
    <w:unhideWhenUsed/>
    <w:rsid w:val="00C86E9D"/>
    <w:pPr>
      <w:bidi w:val="0"/>
      <w:spacing w:before="100" w:beforeAutospacing="1" w:after="100" w:afterAutospacing="1"/>
    </w:pPr>
  </w:style>
  <w:style w:type="character" w:styleId="Strong">
    <w:name w:val="Strong"/>
    <w:basedOn w:val="DefaultParagraphFont"/>
    <w:uiPriority w:val="22"/>
    <w:qFormat/>
    <w:rsid w:val="00C86E9D"/>
    <w:rPr>
      <w:b/>
      <w:bCs/>
    </w:rPr>
  </w:style>
  <w:style w:type="paragraph" w:customStyle="1" w:styleId="ListParagraph1">
    <w:name w:val="List Paragraph1"/>
    <w:basedOn w:val="Normal"/>
    <w:rsid w:val="0033286F"/>
    <w:pPr>
      <w:spacing w:after="200" w:line="276" w:lineRule="auto"/>
      <w:ind w:left="720"/>
      <w:contextualSpacing/>
    </w:pPr>
    <w:rPr>
      <w:rFonts w:ascii="Calibri" w:hAnsi="Calibri" w:cs="Arial"/>
      <w:sz w:val="22"/>
      <w:szCs w:val="22"/>
    </w:rPr>
  </w:style>
  <w:style w:type="character" w:styleId="Hyperlink">
    <w:name w:val="Hyperlink"/>
    <w:basedOn w:val="DefaultParagraphFont"/>
    <w:uiPriority w:val="99"/>
    <w:unhideWhenUsed/>
    <w:rsid w:val="00F33A68"/>
    <w:rPr>
      <w:color w:val="0000FF" w:themeColor="hyperlink"/>
      <w:u w:val="single"/>
    </w:rPr>
  </w:style>
  <w:style w:type="character" w:styleId="CommentReference">
    <w:name w:val="annotation reference"/>
    <w:basedOn w:val="DefaultParagraphFont"/>
    <w:uiPriority w:val="99"/>
    <w:semiHidden/>
    <w:unhideWhenUsed/>
    <w:rsid w:val="004C6D89"/>
    <w:rPr>
      <w:sz w:val="16"/>
      <w:szCs w:val="16"/>
    </w:rPr>
  </w:style>
  <w:style w:type="paragraph" w:styleId="CommentText">
    <w:name w:val="annotation text"/>
    <w:basedOn w:val="Normal"/>
    <w:link w:val="CommentTextChar"/>
    <w:uiPriority w:val="99"/>
    <w:semiHidden/>
    <w:unhideWhenUsed/>
    <w:rsid w:val="004C6D89"/>
    <w:rPr>
      <w:sz w:val="20"/>
      <w:szCs w:val="20"/>
    </w:rPr>
  </w:style>
  <w:style w:type="character" w:customStyle="1" w:styleId="CommentTextChar">
    <w:name w:val="Comment Text Char"/>
    <w:basedOn w:val="DefaultParagraphFont"/>
    <w:link w:val="CommentText"/>
    <w:uiPriority w:val="99"/>
    <w:semiHidden/>
    <w:rsid w:val="004C6D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6D89"/>
    <w:rPr>
      <w:b/>
      <w:bCs/>
    </w:rPr>
  </w:style>
  <w:style w:type="character" w:customStyle="1" w:styleId="CommentSubjectChar">
    <w:name w:val="Comment Subject Char"/>
    <w:basedOn w:val="CommentTextChar"/>
    <w:link w:val="CommentSubject"/>
    <w:uiPriority w:val="99"/>
    <w:semiHidden/>
    <w:rsid w:val="004C6D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6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89"/>
    <w:rPr>
      <w:rFonts w:ascii="Segoe UI" w:eastAsia="Times New Roman" w:hAnsi="Segoe UI" w:cs="Segoe UI"/>
      <w:sz w:val="18"/>
      <w:szCs w:val="18"/>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mohammad -</cp:lastModifiedBy>
  <cp:revision>2</cp:revision>
  <dcterms:created xsi:type="dcterms:W3CDTF">2019-02-02T08:22:00Z</dcterms:created>
  <dcterms:modified xsi:type="dcterms:W3CDTF">2019-02-02T08:22:00Z</dcterms:modified>
</cp:coreProperties>
</file>