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B5" w:rsidRDefault="000B5AB5" w:rsidP="000B5AB5">
      <w:pPr>
        <w:tabs>
          <w:tab w:val="left" w:pos="2509"/>
          <w:tab w:val="center" w:pos="4607"/>
        </w:tabs>
        <w:rPr>
          <w:rFonts w:hint="cs"/>
          <w:b/>
          <w:bCs/>
          <w:sz w:val="28"/>
          <w:szCs w:val="28"/>
          <w:rtl/>
          <w:lang w:bidi="ar-EG"/>
        </w:rPr>
      </w:pPr>
    </w:p>
    <w:p w:rsidR="000B5AB5" w:rsidRDefault="000B5AB5" w:rsidP="000B5AB5">
      <w:pPr>
        <w:tabs>
          <w:tab w:val="left" w:pos="2509"/>
          <w:tab w:val="center" w:pos="4607"/>
        </w:tabs>
        <w:jc w:val="center"/>
        <w:rPr>
          <w:b/>
          <w:bCs/>
          <w:sz w:val="32"/>
          <w:szCs w:val="32"/>
          <w:rtl/>
        </w:rPr>
      </w:pPr>
      <w:r w:rsidRPr="000B5AB5">
        <w:rPr>
          <w:rFonts w:hint="cs"/>
          <w:b/>
          <w:bCs/>
          <w:sz w:val="32"/>
          <w:szCs w:val="32"/>
          <w:rtl/>
        </w:rPr>
        <w:t xml:space="preserve">مقرر </w:t>
      </w:r>
      <w:r w:rsidR="00956473">
        <w:rPr>
          <w:rFonts w:hint="cs"/>
          <w:b/>
          <w:bCs/>
          <w:sz w:val="32"/>
          <w:szCs w:val="32"/>
          <w:rtl/>
        </w:rPr>
        <w:t xml:space="preserve">الدبلوماسية والمفاوضات </w:t>
      </w:r>
    </w:p>
    <w:p w:rsidR="004F2ABE" w:rsidRDefault="004F2ABE" w:rsidP="004D6638">
      <w:pPr>
        <w:ind w:left="720"/>
        <w:jc w:val="right"/>
        <w:rPr>
          <w:b/>
          <w:bCs/>
          <w:sz w:val="32"/>
          <w:szCs w:val="32"/>
          <w:rtl/>
        </w:rPr>
      </w:pPr>
    </w:p>
    <w:p w:rsidR="004D6638" w:rsidRDefault="004D6638" w:rsidP="005C6205">
      <w:pPr>
        <w:ind w:left="720"/>
        <w:jc w:val="center"/>
        <w:rPr>
          <w:b/>
          <w:bCs/>
          <w:sz w:val="28"/>
          <w:szCs w:val="28"/>
          <w:rtl/>
          <w:lang w:bidi="ar-EG"/>
        </w:rPr>
      </w:pPr>
      <w:r w:rsidRPr="00A369B8">
        <w:rPr>
          <w:rFonts w:hint="cs"/>
          <w:b/>
          <w:bCs/>
          <w:sz w:val="28"/>
          <w:szCs w:val="28"/>
          <w:rtl/>
          <w:lang w:bidi="ar-EG"/>
        </w:rPr>
        <w:t xml:space="preserve">استاذة المقرر : د/ </w:t>
      </w:r>
      <w:r w:rsidR="001B3E7F">
        <w:rPr>
          <w:rFonts w:hint="cs"/>
          <w:b/>
          <w:bCs/>
          <w:sz w:val="28"/>
          <w:szCs w:val="28"/>
          <w:rtl/>
          <w:lang w:bidi="ar-EG"/>
        </w:rPr>
        <w:t>نهادأحمد مكرم</w:t>
      </w:r>
    </w:p>
    <w:p w:rsidR="001B3E7F" w:rsidRPr="001B3E7F" w:rsidRDefault="001B3E7F" w:rsidP="00BF2FEA">
      <w:pPr>
        <w:jc w:val="highKashida"/>
        <w:rPr>
          <w:sz w:val="28"/>
          <w:szCs w:val="28"/>
          <w:lang w:bidi="ar-EG"/>
        </w:rPr>
      </w:pPr>
      <w:r w:rsidRPr="001B3E7F">
        <w:rPr>
          <w:rFonts w:hint="cs"/>
          <w:sz w:val="28"/>
          <w:szCs w:val="28"/>
          <w:rtl/>
          <w:lang w:bidi="ar-EG"/>
        </w:rPr>
        <w:t xml:space="preserve">يهدف المقرر إلى دراسة قضايا الدبلوماسية والمفاوضات وذلك بالتركيز على </w:t>
      </w:r>
      <w:r w:rsidR="00D244B8">
        <w:rPr>
          <w:rFonts w:hint="cs"/>
          <w:sz w:val="28"/>
          <w:szCs w:val="28"/>
          <w:rtl/>
          <w:lang w:bidi="ar-EG"/>
        </w:rPr>
        <w:t>؛</w:t>
      </w:r>
      <w:r w:rsidRPr="001B3E7F">
        <w:rPr>
          <w:rFonts w:hint="cs"/>
          <w:sz w:val="28"/>
          <w:szCs w:val="28"/>
          <w:rtl/>
          <w:lang w:bidi="ar-EG"/>
        </w:rPr>
        <w:t>التعريف بالدبلوماسية و المصطلحات ذات الصلة وأهم التط</w:t>
      </w:r>
      <w:r w:rsidR="00D244B8">
        <w:rPr>
          <w:rFonts w:hint="cs"/>
          <w:sz w:val="28"/>
          <w:szCs w:val="28"/>
          <w:rtl/>
          <w:lang w:bidi="ar-EG"/>
        </w:rPr>
        <w:t>و</w:t>
      </w:r>
      <w:r w:rsidRPr="001B3E7F">
        <w:rPr>
          <w:rFonts w:hint="cs"/>
          <w:sz w:val="28"/>
          <w:szCs w:val="28"/>
          <w:rtl/>
          <w:lang w:bidi="ar-EG"/>
        </w:rPr>
        <w:t>رات التى صاحبت الوظيفة الدبلوماسية عبر المراحل التاريخية المختلفة .وأيضا التعرف على أسس عملية التفاوض على اعتبار أن فن التفاوض من الوسائل المهمة التى تستخدمها الدول لتوطيد العلاقات فيما بينها ، وهى تحتاج لمهارات يجب أن يتسلح بها الدبلوماسى الناجح .كما يهدف المقرر إلى تعريف الطالبات بال</w:t>
      </w:r>
      <w:r w:rsidR="0076056C">
        <w:rPr>
          <w:rFonts w:hint="cs"/>
          <w:sz w:val="28"/>
          <w:szCs w:val="28"/>
          <w:rtl/>
          <w:lang w:bidi="ar-EG"/>
        </w:rPr>
        <w:t>أ</w:t>
      </w:r>
      <w:r w:rsidRPr="001B3E7F">
        <w:rPr>
          <w:rFonts w:hint="cs"/>
          <w:sz w:val="28"/>
          <w:szCs w:val="28"/>
          <w:rtl/>
          <w:lang w:bidi="ar-EG"/>
        </w:rPr>
        <w:t>ساس القانونى والمؤسسى للعمل الدبلوماسى وأهم الأسس التى يستند إليها النظام الدبلوماسى فى المملكة العربية السعودية</w:t>
      </w:r>
    </w:p>
    <w:p w:rsidR="00956473" w:rsidRPr="001B3E7F" w:rsidRDefault="00956473" w:rsidP="001B3E7F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bidi="ar-EG"/>
        </w:rPr>
      </w:pPr>
    </w:p>
    <w:p w:rsidR="004F2ABE" w:rsidRPr="003C661E" w:rsidRDefault="004F2ABE" w:rsidP="000B5AB5">
      <w:pPr>
        <w:pStyle w:val="ListParagraph"/>
        <w:ind w:left="567"/>
        <w:rPr>
          <w:sz w:val="28"/>
          <w:szCs w:val="28"/>
          <w:rtl/>
          <w:lang w:bidi="ar-EG"/>
        </w:rPr>
      </w:pPr>
    </w:p>
    <w:p w:rsidR="000B5AB5" w:rsidRPr="001B3E7F" w:rsidRDefault="004F2ABE" w:rsidP="000B5AB5">
      <w:pPr>
        <w:pStyle w:val="ListParagraph"/>
        <w:ind w:left="567"/>
        <w:rPr>
          <w:b/>
          <w:bCs/>
          <w:sz w:val="28"/>
          <w:szCs w:val="28"/>
          <w:rtl/>
          <w:lang w:bidi="ar-EG"/>
        </w:rPr>
      </w:pPr>
      <w:r w:rsidRPr="001B3E7F">
        <w:rPr>
          <w:rFonts w:hint="cs"/>
          <w:b/>
          <w:bCs/>
          <w:sz w:val="28"/>
          <w:szCs w:val="28"/>
          <w:rtl/>
          <w:lang w:bidi="ar-EG"/>
        </w:rPr>
        <w:t>آلية</w:t>
      </w:r>
      <w:r w:rsidR="001B3E7F" w:rsidRPr="001B3E7F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4D6638" w:rsidRPr="001B3E7F">
        <w:rPr>
          <w:rFonts w:hint="cs"/>
          <w:b/>
          <w:bCs/>
          <w:sz w:val="28"/>
          <w:szCs w:val="28"/>
          <w:rtl/>
          <w:lang w:bidi="ar-EG"/>
        </w:rPr>
        <w:t xml:space="preserve">توزيع الدرجات </w:t>
      </w:r>
      <w:r w:rsidR="000B5AB5" w:rsidRPr="001B3E7F">
        <w:rPr>
          <w:rFonts w:hint="cs"/>
          <w:b/>
          <w:bCs/>
          <w:sz w:val="28"/>
          <w:szCs w:val="28"/>
          <w:rtl/>
          <w:lang w:bidi="ar-EG"/>
        </w:rPr>
        <w:t>:</w:t>
      </w:r>
    </w:p>
    <w:p w:rsidR="004D6638" w:rsidRDefault="004F2ABE" w:rsidP="001B3E7F">
      <w:pPr>
        <w:pStyle w:val="ListParagraph"/>
        <w:numPr>
          <w:ilvl w:val="0"/>
          <w:numId w:val="7"/>
        </w:numPr>
        <w:rPr>
          <w:sz w:val="28"/>
          <w:szCs w:val="28"/>
          <w:lang w:bidi="ar-EG"/>
        </w:rPr>
      </w:pPr>
      <w:r w:rsidRPr="003C661E">
        <w:rPr>
          <w:rFonts w:hint="cs"/>
          <w:sz w:val="28"/>
          <w:szCs w:val="28"/>
          <w:rtl/>
          <w:lang w:bidi="ar-EG"/>
        </w:rPr>
        <w:t>اختبار</w:t>
      </w:r>
      <w:r w:rsidR="00AA5E3F" w:rsidRPr="003C661E">
        <w:rPr>
          <w:rFonts w:hint="cs"/>
          <w:sz w:val="28"/>
          <w:szCs w:val="28"/>
          <w:rtl/>
          <w:lang w:bidi="ar-EG"/>
        </w:rPr>
        <w:t xml:space="preserve"> فصلي </w:t>
      </w:r>
      <w:r w:rsidR="001B3E7F">
        <w:rPr>
          <w:rFonts w:hint="cs"/>
          <w:sz w:val="28"/>
          <w:szCs w:val="28"/>
          <w:rtl/>
          <w:lang w:bidi="ar-EG"/>
        </w:rPr>
        <w:t>أول</w:t>
      </w:r>
      <w:r w:rsidR="00AA5E3F" w:rsidRPr="003C661E">
        <w:rPr>
          <w:rFonts w:hint="cs"/>
          <w:sz w:val="28"/>
          <w:szCs w:val="28"/>
          <w:rtl/>
          <w:lang w:bidi="ar-EG"/>
        </w:rPr>
        <w:t xml:space="preserve"> </w:t>
      </w:r>
      <w:r w:rsidR="001B3E7F">
        <w:rPr>
          <w:rFonts w:hint="cs"/>
          <w:sz w:val="28"/>
          <w:szCs w:val="28"/>
          <w:rtl/>
          <w:lang w:bidi="ar-EG"/>
        </w:rPr>
        <w:t>25</w:t>
      </w:r>
      <w:r w:rsidR="00AA5E3F" w:rsidRPr="003C661E">
        <w:rPr>
          <w:rFonts w:hint="cs"/>
          <w:sz w:val="28"/>
          <w:szCs w:val="28"/>
          <w:rtl/>
          <w:lang w:bidi="ar-EG"/>
        </w:rPr>
        <w:t xml:space="preserve"> درجة</w:t>
      </w:r>
    </w:p>
    <w:p w:rsidR="001B3E7F" w:rsidRPr="003C661E" w:rsidRDefault="001B3E7F" w:rsidP="001B3E7F">
      <w:pPr>
        <w:pStyle w:val="ListParagraph"/>
        <w:numPr>
          <w:ilvl w:val="0"/>
          <w:numId w:val="7"/>
        </w:numPr>
        <w:rPr>
          <w:sz w:val="28"/>
          <w:szCs w:val="28"/>
          <w:lang w:bidi="ar-EG"/>
        </w:rPr>
      </w:pPr>
      <w:r w:rsidRPr="003C661E">
        <w:rPr>
          <w:rFonts w:hint="cs"/>
          <w:sz w:val="28"/>
          <w:szCs w:val="28"/>
          <w:rtl/>
          <w:lang w:bidi="ar-EG"/>
        </w:rPr>
        <w:t xml:space="preserve">اختبار فصلي </w:t>
      </w:r>
      <w:r>
        <w:rPr>
          <w:rFonts w:hint="cs"/>
          <w:sz w:val="28"/>
          <w:szCs w:val="28"/>
          <w:rtl/>
          <w:lang w:bidi="ar-EG"/>
        </w:rPr>
        <w:t>ثان25</w:t>
      </w:r>
      <w:r w:rsidRPr="003C661E">
        <w:rPr>
          <w:rFonts w:hint="cs"/>
          <w:sz w:val="28"/>
          <w:szCs w:val="28"/>
          <w:rtl/>
          <w:lang w:bidi="ar-EG"/>
        </w:rPr>
        <w:t xml:space="preserve"> درجة</w:t>
      </w:r>
    </w:p>
    <w:p w:rsidR="004D6638" w:rsidRPr="003C661E" w:rsidRDefault="001B3E7F" w:rsidP="001B3E7F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عروض وأبحاث </w:t>
      </w:r>
      <w:r w:rsidR="004D6638" w:rsidRPr="003C661E">
        <w:rPr>
          <w:rFonts w:hint="cs"/>
          <w:sz w:val="28"/>
          <w:szCs w:val="28"/>
          <w:rtl/>
          <w:lang w:bidi="ar-EG"/>
        </w:rPr>
        <w:t xml:space="preserve">( </w:t>
      </w:r>
      <w:r>
        <w:rPr>
          <w:rFonts w:hint="cs"/>
          <w:sz w:val="28"/>
          <w:szCs w:val="28"/>
          <w:rtl/>
          <w:lang w:bidi="ar-EG"/>
        </w:rPr>
        <w:t>1</w:t>
      </w:r>
      <w:r w:rsidR="00AA5E3F" w:rsidRPr="003C661E">
        <w:rPr>
          <w:rFonts w:hint="cs"/>
          <w:sz w:val="28"/>
          <w:szCs w:val="28"/>
          <w:rtl/>
          <w:lang w:bidi="ar-EG"/>
        </w:rPr>
        <w:t>0</w:t>
      </w:r>
      <w:r w:rsidR="004D6638" w:rsidRPr="003C661E">
        <w:rPr>
          <w:rFonts w:hint="cs"/>
          <w:sz w:val="28"/>
          <w:szCs w:val="28"/>
          <w:rtl/>
          <w:lang w:bidi="ar-EG"/>
        </w:rPr>
        <w:t xml:space="preserve">) درجات </w:t>
      </w:r>
    </w:p>
    <w:p w:rsidR="004D6638" w:rsidRPr="003C661E" w:rsidRDefault="004D6638" w:rsidP="000B5AB5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  <w:lang w:bidi="ar-EG"/>
        </w:rPr>
      </w:pPr>
      <w:r w:rsidRPr="003C661E">
        <w:rPr>
          <w:rFonts w:hint="cs"/>
          <w:sz w:val="28"/>
          <w:szCs w:val="28"/>
          <w:rtl/>
          <w:lang w:bidi="ar-EG"/>
        </w:rPr>
        <w:t xml:space="preserve">اختبار </w:t>
      </w:r>
      <w:r w:rsidR="000B5AB5" w:rsidRPr="003C661E">
        <w:rPr>
          <w:rFonts w:hint="cs"/>
          <w:sz w:val="28"/>
          <w:szCs w:val="28"/>
          <w:rtl/>
          <w:lang w:bidi="ar-EG"/>
        </w:rPr>
        <w:t>نهائي</w:t>
      </w:r>
      <w:r w:rsidRPr="003C661E">
        <w:rPr>
          <w:rFonts w:hint="cs"/>
          <w:sz w:val="28"/>
          <w:szCs w:val="28"/>
          <w:rtl/>
          <w:lang w:bidi="ar-EG"/>
        </w:rPr>
        <w:t xml:space="preserve">  ( 40 )  درجه.</w:t>
      </w:r>
    </w:p>
    <w:p w:rsidR="00196E1A" w:rsidRPr="003C661E" w:rsidRDefault="00196E1A" w:rsidP="00196E1A">
      <w:pPr>
        <w:pStyle w:val="ListParagraph"/>
        <w:tabs>
          <w:tab w:val="left" w:pos="6945"/>
        </w:tabs>
        <w:ind w:left="360"/>
        <w:rPr>
          <w:sz w:val="24"/>
          <w:szCs w:val="24"/>
          <w:rtl/>
          <w:lang w:bidi="ar-EG"/>
        </w:rPr>
      </w:pPr>
    </w:p>
    <w:p w:rsidR="004E14B2" w:rsidRPr="003C661E" w:rsidRDefault="004E14B2" w:rsidP="00891786">
      <w:pPr>
        <w:pStyle w:val="ListParagraph"/>
        <w:ind w:left="360"/>
        <w:rPr>
          <w:sz w:val="24"/>
          <w:szCs w:val="24"/>
          <w:rtl/>
          <w:lang w:bidi="ar-EG"/>
        </w:rPr>
      </w:pPr>
    </w:p>
    <w:p w:rsidR="004D6638" w:rsidRPr="003C661E" w:rsidRDefault="004D6638" w:rsidP="004D6638">
      <w:pPr>
        <w:pStyle w:val="ListParagraph"/>
        <w:spacing w:line="360" w:lineRule="auto"/>
        <w:ind w:left="360"/>
        <w:rPr>
          <w:sz w:val="28"/>
          <w:szCs w:val="28"/>
          <w:rtl/>
          <w:lang w:bidi="ar-EG"/>
        </w:rPr>
      </w:pPr>
      <w:r w:rsidRPr="001B3E7F">
        <w:rPr>
          <w:rFonts w:hint="cs"/>
          <w:b/>
          <w:bCs/>
          <w:sz w:val="28"/>
          <w:szCs w:val="28"/>
          <w:rtl/>
          <w:lang w:bidi="ar-EG"/>
        </w:rPr>
        <w:t>طريقة التواصل</w:t>
      </w:r>
      <w:r w:rsidRPr="003C661E">
        <w:rPr>
          <w:rFonts w:hint="cs"/>
          <w:sz w:val="28"/>
          <w:szCs w:val="28"/>
          <w:rtl/>
          <w:lang w:bidi="ar-EG"/>
        </w:rPr>
        <w:t xml:space="preserve"> :</w:t>
      </w:r>
      <w:r w:rsidR="004E14B2" w:rsidRPr="003C661E">
        <w:rPr>
          <w:rFonts w:hint="cs"/>
          <w:sz w:val="28"/>
          <w:szCs w:val="28"/>
          <w:rtl/>
          <w:lang w:bidi="ar-EG"/>
        </w:rPr>
        <w:t xml:space="preserve">  جروب الواتس</w:t>
      </w:r>
    </w:p>
    <w:p w:rsidR="00186029" w:rsidRPr="003C661E" w:rsidRDefault="000B5AB5" w:rsidP="001B3E7F">
      <w:pPr>
        <w:pStyle w:val="ListParagraph"/>
        <w:spacing w:line="360" w:lineRule="auto"/>
        <w:ind w:left="360"/>
        <w:rPr>
          <w:rStyle w:val="Hyperlink"/>
          <w:sz w:val="28"/>
          <w:szCs w:val="28"/>
          <w:lang w:bidi="ar-EG"/>
        </w:rPr>
      </w:pPr>
      <w:r w:rsidRPr="003C661E">
        <w:rPr>
          <w:rFonts w:hint="cs"/>
          <w:sz w:val="28"/>
          <w:szCs w:val="28"/>
          <w:rtl/>
          <w:lang w:bidi="ar-EG"/>
        </w:rPr>
        <w:t>البريد الالكتروني:</w:t>
      </w:r>
      <w:r w:rsidR="001B3E7F">
        <w:rPr>
          <w:sz w:val="28"/>
          <w:szCs w:val="28"/>
          <w:lang w:bidi="ar-EG"/>
        </w:rPr>
        <w:t xml:space="preserve"> nabdelsamad@ksu.edu.sa </w:t>
      </w:r>
    </w:p>
    <w:p w:rsidR="004D6638" w:rsidRDefault="004D6638" w:rsidP="00186029">
      <w:pPr>
        <w:rPr>
          <w:sz w:val="28"/>
          <w:szCs w:val="28"/>
          <w:rtl/>
          <w:lang w:bidi="ar-EG"/>
        </w:rPr>
      </w:pPr>
    </w:p>
    <w:p w:rsidR="004F2ABE" w:rsidRDefault="004F2ABE" w:rsidP="00186029">
      <w:pPr>
        <w:rPr>
          <w:sz w:val="28"/>
          <w:szCs w:val="28"/>
          <w:rtl/>
          <w:lang w:bidi="ar-EG"/>
        </w:rPr>
      </w:pPr>
    </w:p>
    <w:p w:rsidR="004F2ABE" w:rsidRDefault="004F2ABE" w:rsidP="00186029">
      <w:pPr>
        <w:rPr>
          <w:sz w:val="28"/>
          <w:szCs w:val="28"/>
          <w:rtl/>
          <w:lang w:bidi="ar-EG"/>
        </w:rPr>
      </w:pPr>
    </w:p>
    <w:p w:rsidR="004F2ABE" w:rsidRDefault="004F2ABE" w:rsidP="00186029">
      <w:pPr>
        <w:rPr>
          <w:sz w:val="28"/>
          <w:szCs w:val="28"/>
          <w:rtl/>
          <w:lang w:bidi="ar-EG"/>
        </w:rPr>
      </w:pPr>
    </w:p>
    <w:p w:rsidR="004F2ABE" w:rsidRDefault="004F2ABE" w:rsidP="00186029">
      <w:pPr>
        <w:rPr>
          <w:sz w:val="28"/>
          <w:szCs w:val="28"/>
          <w:rtl/>
          <w:lang w:bidi="ar-EG"/>
        </w:rPr>
      </w:pPr>
    </w:p>
    <w:p w:rsidR="004F2ABE" w:rsidRDefault="004F2ABE" w:rsidP="00186029">
      <w:pPr>
        <w:rPr>
          <w:sz w:val="28"/>
          <w:szCs w:val="28"/>
          <w:rtl/>
          <w:lang w:bidi="ar-EG"/>
        </w:rPr>
      </w:pPr>
    </w:p>
    <w:p w:rsidR="004F2ABE" w:rsidRDefault="004F2ABE" w:rsidP="00186029">
      <w:pPr>
        <w:rPr>
          <w:sz w:val="28"/>
          <w:szCs w:val="28"/>
          <w:rtl/>
          <w:lang w:bidi="ar-EG"/>
        </w:rPr>
      </w:pPr>
    </w:p>
    <w:p w:rsidR="004F2ABE" w:rsidRPr="00D7662B" w:rsidRDefault="004F2ABE" w:rsidP="00186029">
      <w:pPr>
        <w:rPr>
          <w:sz w:val="28"/>
          <w:szCs w:val="28"/>
          <w:rtl/>
          <w:lang w:bidi="ar-EG"/>
        </w:rPr>
      </w:pPr>
    </w:p>
    <w:p w:rsidR="004D6638" w:rsidRPr="00946816" w:rsidRDefault="004D6638" w:rsidP="004D6638">
      <w:pPr>
        <w:ind w:left="720"/>
        <w:jc w:val="center"/>
        <w:rPr>
          <w:sz w:val="32"/>
          <w:szCs w:val="32"/>
          <w:u w:val="single"/>
          <w:rtl/>
          <w:lang w:bidi="ar-EG"/>
        </w:rPr>
      </w:pPr>
      <w:r>
        <w:rPr>
          <w:rFonts w:hint="cs"/>
          <w:sz w:val="32"/>
          <w:szCs w:val="32"/>
          <w:u w:val="single"/>
          <w:rtl/>
          <w:lang w:bidi="ar-EG"/>
        </w:rPr>
        <w:t>ا</w:t>
      </w:r>
      <w:r w:rsidRPr="00946816">
        <w:rPr>
          <w:rFonts w:hint="cs"/>
          <w:sz w:val="32"/>
          <w:szCs w:val="32"/>
          <w:u w:val="single"/>
          <w:rtl/>
          <w:lang w:bidi="ar-EG"/>
        </w:rPr>
        <w:t xml:space="preserve">لخطة الاسبوعية لمقرر </w:t>
      </w:r>
      <w:r w:rsidR="004F2ABE">
        <w:rPr>
          <w:rFonts w:hint="cs"/>
          <w:sz w:val="32"/>
          <w:szCs w:val="32"/>
          <w:u w:val="single"/>
          <w:rtl/>
          <w:lang w:bidi="ar-EG"/>
        </w:rPr>
        <w:t xml:space="preserve">دبلوماسية ومفاوضات </w:t>
      </w:r>
    </w:p>
    <w:tbl>
      <w:tblPr>
        <w:tblStyle w:val="TableGrid"/>
        <w:bidiVisual/>
        <w:tblW w:w="0" w:type="auto"/>
        <w:tblLook w:val="04A0"/>
      </w:tblPr>
      <w:tblGrid>
        <w:gridCol w:w="4715"/>
        <w:gridCol w:w="4715"/>
      </w:tblGrid>
      <w:tr w:rsidR="00FF23A3" w:rsidTr="00B22425">
        <w:tc>
          <w:tcPr>
            <w:tcW w:w="4715" w:type="dxa"/>
            <w:vAlign w:val="center"/>
          </w:tcPr>
          <w:p w:rsidR="00FF23A3" w:rsidRPr="00A369B8" w:rsidRDefault="00FF23A3" w:rsidP="0002339F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الموضوع</w:t>
            </w:r>
          </w:p>
        </w:tc>
        <w:tc>
          <w:tcPr>
            <w:tcW w:w="4715" w:type="dxa"/>
            <w:vAlign w:val="center"/>
          </w:tcPr>
          <w:p w:rsidR="00FF23A3" w:rsidRPr="00A369B8" w:rsidRDefault="00FF23A3" w:rsidP="0002339F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الاسبوع</w:t>
            </w:r>
          </w:p>
        </w:tc>
      </w:tr>
      <w:tr w:rsidR="00FF23A3" w:rsidTr="00B22425">
        <w:tc>
          <w:tcPr>
            <w:tcW w:w="4715" w:type="dxa"/>
            <w:vAlign w:val="center"/>
          </w:tcPr>
          <w:p w:rsidR="00FF23A3" w:rsidRPr="00A369B8" w:rsidRDefault="00FF23A3" w:rsidP="0002339F">
            <w:p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تعريف الدبلوماسية وبعض المصطلحات ذات الصلة</w:t>
            </w:r>
          </w:p>
        </w:tc>
        <w:tc>
          <w:tcPr>
            <w:tcW w:w="4715" w:type="dxa"/>
            <w:vAlign w:val="center"/>
          </w:tcPr>
          <w:p w:rsidR="00FF23A3" w:rsidRPr="00A369B8" w:rsidRDefault="00FF23A3" w:rsidP="0002339F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الاول</w:t>
            </w:r>
          </w:p>
        </w:tc>
      </w:tr>
      <w:tr w:rsidR="00FF23A3" w:rsidTr="00B22425">
        <w:tc>
          <w:tcPr>
            <w:tcW w:w="4715" w:type="dxa"/>
            <w:vAlign w:val="center"/>
          </w:tcPr>
          <w:p w:rsidR="00FF23A3" w:rsidRPr="00A369B8" w:rsidRDefault="00FF23A3" w:rsidP="0002339F">
            <w:p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مراحل تطور الوظيفة الدبلوماسية</w:t>
            </w:r>
          </w:p>
        </w:tc>
        <w:tc>
          <w:tcPr>
            <w:tcW w:w="4715" w:type="dxa"/>
            <w:vAlign w:val="center"/>
          </w:tcPr>
          <w:p w:rsidR="00FF23A3" w:rsidRPr="00A369B8" w:rsidRDefault="00FF23A3" w:rsidP="0002339F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الثانى</w:t>
            </w:r>
          </w:p>
        </w:tc>
      </w:tr>
      <w:tr w:rsidR="00FF23A3" w:rsidTr="00B22425">
        <w:tc>
          <w:tcPr>
            <w:tcW w:w="4715" w:type="dxa"/>
            <w:vAlign w:val="center"/>
          </w:tcPr>
          <w:p w:rsidR="00FF23A3" w:rsidRPr="00A369B8" w:rsidRDefault="00FF23A3" w:rsidP="0002339F">
            <w:p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أنواع الدبلوماسية </w:t>
            </w:r>
          </w:p>
        </w:tc>
        <w:tc>
          <w:tcPr>
            <w:tcW w:w="4715" w:type="dxa"/>
            <w:vAlign w:val="center"/>
          </w:tcPr>
          <w:p w:rsidR="00FF23A3" w:rsidRPr="00A369B8" w:rsidRDefault="00FF23A3" w:rsidP="0002339F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الثالث</w:t>
            </w:r>
          </w:p>
        </w:tc>
      </w:tr>
      <w:tr w:rsidR="00FF23A3" w:rsidTr="00B22425">
        <w:tc>
          <w:tcPr>
            <w:tcW w:w="4715" w:type="dxa"/>
            <w:vAlign w:val="center"/>
          </w:tcPr>
          <w:p w:rsidR="00FF23A3" w:rsidRPr="00A369B8" w:rsidRDefault="00FF23A3" w:rsidP="0002339F">
            <w:p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الأساس القانوني للعمل الدبلوماسى والقنصلى</w:t>
            </w:r>
          </w:p>
        </w:tc>
        <w:tc>
          <w:tcPr>
            <w:tcW w:w="4715" w:type="dxa"/>
            <w:vAlign w:val="center"/>
          </w:tcPr>
          <w:p w:rsidR="00FF23A3" w:rsidRPr="00A369B8" w:rsidRDefault="00FF23A3" w:rsidP="0002339F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الرابع</w:t>
            </w:r>
          </w:p>
        </w:tc>
      </w:tr>
      <w:tr w:rsidR="00FF23A3" w:rsidTr="00B22425">
        <w:tc>
          <w:tcPr>
            <w:tcW w:w="4715" w:type="dxa"/>
            <w:vAlign w:val="center"/>
          </w:tcPr>
          <w:p w:rsidR="00FF23A3" w:rsidRPr="00A369B8" w:rsidRDefault="00FF23A3" w:rsidP="0002339F">
            <w:p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البناء المؤسسى لإدارة العلاقات الدبلوماسية</w:t>
            </w:r>
          </w:p>
        </w:tc>
        <w:tc>
          <w:tcPr>
            <w:tcW w:w="4715" w:type="dxa"/>
            <w:vAlign w:val="center"/>
          </w:tcPr>
          <w:p w:rsidR="00FF23A3" w:rsidRPr="00A369B8" w:rsidRDefault="00FF23A3" w:rsidP="0002339F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A369B8">
              <w:rPr>
                <w:rFonts w:hint="cs"/>
                <w:sz w:val="24"/>
                <w:szCs w:val="24"/>
                <w:rtl/>
                <w:lang w:bidi="ar-EG"/>
              </w:rPr>
              <w:t>الخامس</w:t>
            </w:r>
          </w:p>
        </w:tc>
      </w:tr>
      <w:tr w:rsidR="00FF23A3" w:rsidTr="00B22425">
        <w:tc>
          <w:tcPr>
            <w:tcW w:w="4715" w:type="dxa"/>
            <w:vAlign w:val="center"/>
          </w:tcPr>
          <w:p w:rsidR="00FF23A3" w:rsidRDefault="00FF23A3" w:rsidP="0002339F">
            <w:p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البعثة الدبلوماسية: تكوينها وقواعد انشائها وممارستها</w:t>
            </w:r>
          </w:p>
        </w:tc>
        <w:tc>
          <w:tcPr>
            <w:tcW w:w="4715" w:type="dxa"/>
            <w:vAlign w:val="center"/>
          </w:tcPr>
          <w:p w:rsidR="00FF23A3" w:rsidRPr="00A369B8" w:rsidRDefault="00FF23A3" w:rsidP="0002339F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السادس</w:t>
            </w:r>
          </w:p>
        </w:tc>
      </w:tr>
      <w:tr w:rsidR="00F21CE7" w:rsidTr="00B22425">
        <w:tc>
          <w:tcPr>
            <w:tcW w:w="4715" w:type="dxa"/>
            <w:vAlign w:val="center"/>
          </w:tcPr>
          <w:p w:rsidR="00F21CE7" w:rsidRDefault="00F21CE7" w:rsidP="0002339F">
            <w:p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البعثات القنصلية ووظائفها </w:t>
            </w:r>
          </w:p>
        </w:tc>
        <w:tc>
          <w:tcPr>
            <w:tcW w:w="4715" w:type="dxa"/>
            <w:vAlign w:val="center"/>
          </w:tcPr>
          <w:p w:rsidR="00F21CE7" w:rsidRDefault="00F21CE7" w:rsidP="0002339F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السابع</w:t>
            </w:r>
          </w:p>
        </w:tc>
      </w:tr>
      <w:tr w:rsidR="00F21CE7" w:rsidTr="00B22425">
        <w:tc>
          <w:tcPr>
            <w:tcW w:w="4715" w:type="dxa"/>
            <w:vAlign w:val="center"/>
          </w:tcPr>
          <w:p w:rsidR="00F21CE7" w:rsidRDefault="00F21CE7" w:rsidP="0002339F">
            <w:p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الحصانات والامتيازات الدبلوماسية والقنصلية</w:t>
            </w:r>
          </w:p>
        </w:tc>
        <w:tc>
          <w:tcPr>
            <w:tcW w:w="4715" w:type="dxa"/>
            <w:vAlign w:val="center"/>
          </w:tcPr>
          <w:p w:rsidR="00F21CE7" w:rsidRPr="00A369B8" w:rsidRDefault="00F21CE7" w:rsidP="0002339F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الثامن</w:t>
            </w:r>
          </w:p>
        </w:tc>
      </w:tr>
      <w:tr w:rsidR="00F21CE7" w:rsidTr="00B22425">
        <w:tc>
          <w:tcPr>
            <w:tcW w:w="4715" w:type="dxa"/>
            <w:vAlign w:val="center"/>
          </w:tcPr>
          <w:p w:rsidR="00F21CE7" w:rsidRPr="00A369B8" w:rsidRDefault="00F21CE7" w:rsidP="0002339F">
            <w:p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المراتب والمراسم الدبلوماسية</w:t>
            </w:r>
          </w:p>
        </w:tc>
        <w:tc>
          <w:tcPr>
            <w:tcW w:w="4715" w:type="dxa"/>
            <w:vAlign w:val="center"/>
          </w:tcPr>
          <w:p w:rsidR="00F21CE7" w:rsidRDefault="00F21CE7" w:rsidP="0002339F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التاسع</w:t>
            </w:r>
          </w:p>
        </w:tc>
      </w:tr>
      <w:tr w:rsidR="00F21CE7" w:rsidTr="00B22425">
        <w:tc>
          <w:tcPr>
            <w:tcW w:w="4715" w:type="dxa"/>
            <w:vAlign w:val="center"/>
          </w:tcPr>
          <w:p w:rsidR="00F21CE7" w:rsidRDefault="0008340A" w:rsidP="00DC5454">
            <w:p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أسسس </w:t>
            </w:r>
            <w:r w:rsidR="00DC5454">
              <w:rPr>
                <w:rFonts w:hint="cs"/>
                <w:sz w:val="24"/>
                <w:szCs w:val="24"/>
                <w:rtl/>
                <w:lang w:bidi="ar-EG"/>
              </w:rPr>
              <w:t xml:space="preserve">العمل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الدبلوماسي فى النظام السياسى </w:t>
            </w:r>
            <w:r w:rsidR="00DC5454">
              <w:rPr>
                <w:rFonts w:hint="cs"/>
                <w:sz w:val="24"/>
                <w:szCs w:val="24"/>
                <w:rtl/>
                <w:lang w:bidi="ar-EG"/>
              </w:rPr>
              <w:t>السعودى</w:t>
            </w:r>
          </w:p>
        </w:tc>
        <w:tc>
          <w:tcPr>
            <w:tcW w:w="4715" w:type="dxa"/>
            <w:vAlign w:val="center"/>
          </w:tcPr>
          <w:p w:rsidR="00F21CE7" w:rsidRPr="00A369B8" w:rsidRDefault="00F21CE7" w:rsidP="0002339F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العاشر</w:t>
            </w:r>
          </w:p>
        </w:tc>
      </w:tr>
      <w:tr w:rsidR="00DC5454" w:rsidTr="00B22425">
        <w:tc>
          <w:tcPr>
            <w:tcW w:w="4715" w:type="dxa"/>
            <w:vAlign w:val="center"/>
          </w:tcPr>
          <w:p w:rsidR="00DC5454" w:rsidRDefault="00DC5454" w:rsidP="0002339F">
            <w:p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الدبلوماسية والتفاوض</w:t>
            </w:r>
          </w:p>
        </w:tc>
        <w:tc>
          <w:tcPr>
            <w:tcW w:w="4715" w:type="dxa"/>
            <w:vAlign w:val="center"/>
          </w:tcPr>
          <w:p w:rsidR="00DC5454" w:rsidRPr="00A369B8" w:rsidRDefault="00DC5454" w:rsidP="0002339F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الحادى عشر</w:t>
            </w:r>
          </w:p>
        </w:tc>
      </w:tr>
      <w:tr w:rsidR="00DC5454" w:rsidTr="00B22425">
        <w:tc>
          <w:tcPr>
            <w:tcW w:w="4715" w:type="dxa"/>
            <w:vAlign w:val="center"/>
          </w:tcPr>
          <w:p w:rsidR="00DC5454" w:rsidRPr="00A369B8" w:rsidRDefault="00DC5454" w:rsidP="0002339F">
            <w:p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استراتيجيات ومباريات التفاوض</w:t>
            </w:r>
          </w:p>
        </w:tc>
        <w:tc>
          <w:tcPr>
            <w:tcW w:w="4715" w:type="dxa"/>
            <w:vAlign w:val="center"/>
          </w:tcPr>
          <w:p w:rsidR="00DC5454" w:rsidRDefault="00DC5454" w:rsidP="0002339F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الثانى عشر</w:t>
            </w:r>
          </w:p>
        </w:tc>
      </w:tr>
      <w:tr w:rsidR="0008340A" w:rsidTr="00B22425">
        <w:tc>
          <w:tcPr>
            <w:tcW w:w="4715" w:type="dxa"/>
            <w:vAlign w:val="center"/>
          </w:tcPr>
          <w:p w:rsidR="0008340A" w:rsidRPr="00A369B8" w:rsidRDefault="00DC5454" w:rsidP="00DC5454">
            <w:p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التفاوض وإدارة الصراع الدولى</w:t>
            </w:r>
          </w:p>
        </w:tc>
        <w:tc>
          <w:tcPr>
            <w:tcW w:w="4715" w:type="dxa"/>
            <w:vAlign w:val="center"/>
          </w:tcPr>
          <w:p w:rsidR="0008340A" w:rsidRDefault="0008340A" w:rsidP="0002339F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الثالث عشر</w:t>
            </w:r>
          </w:p>
        </w:tc>
      </w:tr>
      <w:tr w:rsidR="005C6205" w:rsidTr="00B22425">
        <w:tc>
          <w:tcPr>
            <w:tcW w:w="4715" w:type="dxa"/>
            <w:vAlign w:val="center"/>
          </w:tcPr>
          <w:p w:rsidR="005C6205" w:rsidRDefault="0008340A" w:rsidP="0002339F">
            <w:p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دروس فى فن التفاوض: هنرى كسبنجر</w:t>
            </w:r>
          </w:p>
        </w:tc>
        <w:tc>
          <w:tcPr>
            <w:tcW w:w="4715" w:type="dxa"/>
            <w:vAlign w:val="center"/>
          </w:tcPr>
          <w:p w:rsidR="005C6205" w:rsidRDefault="005C6205" w:rsidP="0002339F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الرابع عشر</w:t>
            </w:r>
          </w:p>
        </w:tc>
      </w:tr>
      <w:tr w:rsidR="005C6205" w:rsidTr="00B22425">
        <w:tc>
          <w:tcPr>
            <w:tcW w:w="4715" w:type="dxa"/>
            <w:vAlign w:val="center"/>
          </w:tcPr>
          <w:p w:rsidR="005C6205" w:rsidRDefault="00BE1DB3" w:rsidP="0002339F">
            <w:pPr>
              <w:spacing w:line="240" w:lineRule="auto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نماذج التفاوض فى ظروف الأزمات الدولية</w:t>
            </w:r>
          </w:p>
        </w:tc>
        <w:tc>
          <w:tcPr>
            <w:tcW w:w="4715" w:type="dxa"/>
            <w:vAlign w:val="center"/>
          </w:tcPr>
          <w:p w:rsidR="005C6205" w:rsidRDefault="005C6205" w:rsidP="0002339F">
            <w:pPr>
              <w:spacing w:line="24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الخامس عشر</w:t>
            </w:r>
          </w:p>
        </w:tc>
      </w:tr>
    </w:tbl>
    <w:p w:rsidR="00A76D68" w:rsidRDefault="00A76D68"/>
    <w:sectPr w:rsidR="00A76D68" w:rsidSect="008528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74" w:bottom="1440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A88" w:rsidRDefault="009B5A88" w:rsidP="008528FD">
      <w:pPr>
        <w:spacing w:after="0" w:line="240" w:lineRule="auto"/>
      </w:pPr>
      <w:r>
        <w:separator/>
      </w:r>
    </w:p>
  </w:endnote>
  <w:endnote w:type="continuationSeparator" w:id="1">
    <w:p w:rsidR="009B5A88" w:rsidRDefault="009B5A88" w:rsidP="0085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029" w:rsidRDefault="001860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029" w:rsidRDefault="001860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029" w:rsidRDefault="001860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A88" w:rsidRDefault="009B5A88" w:rsidP="008528FD">
      <w:pPr>
        <w:spacing w:after="0" w:line="240" w:lineRule="auto"/>
      </w:pPr>
      <w:r>
        <w:separator/>
      </w:r>
    </w:p>
  </w:footnote>
  <w:footnote w:type="continuationSeparator" w:id="1">
    <w:p w:rsidR="009B5A88" w:rsidRDefault="009B5A88" w:rsidP="00852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029" w:rsidRDefault="001860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029" w:rsidRDefault="001860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029" w:rsidRDefault="001860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6903"/>
    <w:multiLevelType w:val="hybridMultilevel"/>
    <w:tmpl w:val="D25EF4A4"/>
    <w:lvl w:ilvl="0" w:tplc="0A76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209DA"/>
    <w:multiLevelType w:val="hybridMultilevel"/>
    <w:tmpl w:val="D2A46A00"/>
    <w:lvl w:ilvl="0" w:tplc="211EC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F311D"/>
    <w:multiLevelType w:val="hybridMultilevel"/>
    <w:tmpl w:val="D6CE57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24018"/>
    <w:multiLevelType w:val="hybridMultilevel"/>
    <w:tmpl w:val="164CC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1C0A25"/>
    <w:multiLevelType w:val="hybridMultilevel"/>
    <w:tmpl w:val="78D87986"/>
    <w:lvl w:ilvl="0" w:tplc="9E20C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F6161"/>
    <w:multiLevelType w:val="hybridMultilevel"/>
    <w:tmpl w:val="0C9ADD3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87804C2"/>
    <w:multiLevelType w:val="hybridMultilevel"/>
    <w:tmpl w:val="5ACA571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278"/>
    <w:rsid w:val="00043750"/>
    <w:rsid w:val="00043D11"/>
    <w:rsid w:val="0007025C"/>
    <w:rsid w:val="0008340A"/>
    <w:rsid w:val="000B5AB5"/>
    <w:rsid w:val="00173278"/>
    <w:rsid w:val="00186029"/>
    <w:rsid w:val="00196E1A"/>
    <w:rsid w:val="001B3E7F"/>
    <w:rsid w:val="001B7F59"/>
    <w:rsid w:val="00377D8B"/>
    <w:rsid w:val="003C661E"/>
    <w:rsid w:val="004D6638"/>
    <w:rsid w:val="004E11E8"/>
    <w:rsid w:val="004E14B2"/>
    <w:rsid w:val="004F2ABE"/>
    <w:rsid w:val="005174FC"/>
    <w:rsid w:val="00551776"/>
    <w:rsid w:val="0055415C"/>
    <w:rsid w:val="00554280"/>
    <w:rsid w:val="00563158"/>
    <w:rsid w:val="005636CA"/>
    <w:rsid w:val="005B51D4"/>
    <w:rsid w:val="005C6205"/>
    <w:rsid w:val="0076056C"/>
    <w:rsid w:val="008528FD"/>
    <w:rsid w:val="00891786"/>
    <w:rsid w:val="009375B6"/>
    <w:rsid w:val="00956473"/>
    <w:rsid w:val="009B5A88"/>
    <w:rsid w:val="00A01C3F"/>
    <w:rsid w:val="00A321AB"/>
    <w:rsid w:val="00A558DD"/>
    <w:rsid w:val="00A76D68"/>
    <w:rsid w:val="00AA5E3F"/>
    <w:rsid w:val="00B32F84"/>
    <w:rsid w:val="00BB11D9"/>
    <w:rsid w:val="00BE1DB3"/>
    <w:rsid w:val="00BF2FEA"/>
    <w:rsid w:val="00C42CFD"/>
    <w:rsid w:val="00D20ACF"/>
    <w:rsid w:val="00D244B8"/>
    <w:rsid w:val="00DC5454"/>
    <w:rsid w:val="00DD125F"/>
    <w:rsid w:val="00E60E7C"/>
    <w:rsid w:val="00E92D49"/>
    <w:rsid w:val="00ED32D9"/>
    <w:rsid w:val="00F15C6C"/>
    <w:rsid w:val="00F21CE7"/>
    <w:rsid w:val="00F440A2"/>
    <w:rsid w:val="00FF2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78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2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5A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28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F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8528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8FD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2D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2D9"/>
    <w:rPr>
      <w:rFonts w:ascii="Tahoma" w:eastAsia="Calibri" w:hAnsi="Tahoma" w:cs="Tahoma"/>
      <w:sz w:val="18"/>
      <w:szCs w:val="18"/>
    </w:rPr>
  </w:style>
  <w:style w:type="table" w:styleId="TableGrid">
    <w:name w:val="Table Grid"/>
    <w:basedOn w:val="TableNormal"/>
    <w:uiPriority w:val="39"/>
    <w:rsid w:val="00937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Alyaa Ahmad Mostafa</dc:creator>
  <cp:lastModifiedBy>DR.Nehad</cp:lastModifiedBy>
  <cp:revision>11</cp:revision>
  <cp:lastPrinted>2020-01-19T06:22:00Z</cp:lastPrinted>
  <dcterms:created xsi:type="dcterms:W3CDTF">2021-08-26T10:51:00Z</dcterms:created>
  <dcterms:modified xsi:type="dcterms:W3CDTF">2021-09-05T06:56:00Z</dcterms:modified>
</cp:coreProperties>
</file>