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BAC" w:rsidRPr="00911000" w:rsidRDefault="00D06BAC" w:rsidP="00D06BAC">
      <w:pPr>
        <w:pStyle w:val="Heading2"/>
        <w:bidi/>
        <w:spacing w:before="0" w:beforeAutospacing="0" w:after="180" w:afterAutospacing="0"/>
        <w:ind w:left="1050"/>
        <w:rPr>
          <w:rFonts w:ascii="yakout" w:hAnsi="yakout"/>
          <w:b w:val="0"/>
          <w:bCs w:val="0"/>
          <w:color w:val="022F36"/>
          <w:sz w:val="29"/>
          <w:szCs w:val="29"/>
        </w:rPr>
      </w:pPr>
      <w:r w:rsidRPr="00911000">
        <w:rPr>
          <w:rFonts w:ascii="yakout" w:hAnsi="yakout"/>
          <w:b w:val="0"/>
          <w:bCs w:val="0"/>
          <w:color w:val="022F36"/>
          <w:sz w:val="29"/>
          <w:szCs w:val="29"/>
          <w:rtl/>
        </w:rPr>
        <w:t>قرارات مجلس الوزراء الموافقة على اللائحة التنفيذية لنظام التحكيم</w:t>
      </w:r>
    </w:p>
    <w:p w:rsidR="00D06BAC" w:rsidRPr="00911000" w:rsidRDefault="00911000" w:rsidP="004E2886">
      <w:pPr>
        <w:pStyle w:val="body"/>
        <w:bidi/>
        <w:spacing w:before="300" w:beforeAutospacing="0" w:after="0" w:afterAutospacing="0"/>
        <w:rPr>
          <w:rFonts w:ascii="yakout" w:hAnsi="yakout"/>
          <w:rtl/>
        </w:rPr>
      </w:pPr>
      <w:hyperlink r:id="rId5" w:history="1">
        <w:r w:rsidR="00D06BAC" w:rsidRPr="00911000">
          <w:rPr>
            <w:rtl/>
          </w:rPr>
          <w:t>العدد 4674</w:t>
        </w:r>
        <w:r w:rsidR="00D06BAC" w:rsidRPr="00911000">
          <w:rPr>
            <w:rFonts w:hint="cs"/>
            <w:rtl/>
          </w:rPr>
          <w:t xml:space="preserve"> من جريدة أم القرى</w:t>
        </w:r>
        <w:r w:rsidR="00D06BAC" w:rsidRPr="00911000">
          <w:rPr>
            <w:rtl/>
          </w:rPr>
          <w:t xml:space="preserve"> الصفحة 5</w:t>
        </w:r>
      </w:hyperlink>
      <w:r w:rsidR="00D06BAC" w:rsidRPr="00911000">
        <w:rPr>
          <w:rFonts w:ascii="yakout" w:hAnsi="yakout" w:hint="cs"/>
          <w:rtl/>
        </w:rPr>
        <w:t xml:space="preserve"> بتاريخ </w:t>
      </w:r>
      <w:r w:rsidR="00D06BAC" w:rsidRPr="00911000">
        <w:t>1438/9/13</w:t>
      </w:r>
      <w:r w:rsidR="00D06BAC" w:rsidRPr="00911000">
        <w:rPr>
          <w:rFonts w:ascii="yakout" w:hAnsi="yakout"/>
        </w:rPr>
        <w:t> </w:t>
      </w:r>
      <w:r w:rsidR="00D06BAC" w:rsidRPr="00911000">
        <w:rPr>
          <w:rFonts w:ascii="yakout" w:hAnsi="yakout" w:hint="cs"/>
          <w:rtl/>
        </w:rPr>
        <w:t>هـ الموافق 8/6/2017م</w:t>
      </w:r>
    </w:p>
    <w:p w:rsidR="00D06BAC" w:rsidRPr="00911000" w:rsidRDefault="00D06BAC" w:rsidP="004F5E0D">
      <w:pPr>
        <w:pStyle w:val="body"/>
        <w:tabs>
          <w:tab w:val="left" w:pos="2981"/>
        </w:tabs>
        <w:bidi/>
        <w:spacing w:before="300" w:beforeAutospacing="0" w:after="0" w:afterAutospacing="0"/>
        <w:rPr>
          <w:rFonts w:ascii="yakout" w:hAnsi="yakout"/>
        </w:rPr>
      </w:pPr>
      <w:r w:rsidRPr="00911000">
        <w:rPr>
          <w:rFonts w:ascii="yakout" w:hAnsi="yakout"/>
          <w:rtl/>
        </w:rPr>
        <w:t>إن مجلس الوزراء</w:t>
      </w:r>
      <w:r w:rsidR="004F5E0D" w:rsidRPr="00911000">
        <w:rPr>
          <w:rFonts w:ascii="yakout" w:hAnsi="yakout"/>
          <w:rtl/>
        </w:rPr>
        <w:tab/>
      </w:r>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بعد الاطلاع على المعاملة الواردة من الديوان الملكي برقم 9199 وتاريخ 18-2-1437</w:t>
      </w:r>
      <w:proofErr w:type="gramStart"/>
      <w:r w:rsidRPr="00911000">
        <w:rPr>
          <w:rFonts w:ascii="yakout" w:hAnsi="yakout"/>
          <w:rtl/>
        </w:rPr>
        <w:t>هـ ،</w:t>
      </w:r>
      <w:proofErr w:type="gramEnd"/>
      <w:r w:rsidRPr="00911000">
        <w:rPr>
          <w:rFonts w:ascii="yakout" w:hAnsi="yakout"/>
          <w:rtl/>
        </w:rPr>
        <w:t xml:space="preserve"> المشتملة على خطاب معالي وزير العدل رقم 170436-37 وتاريخ 5-2-1437هـ ، في شأن مشروع اللائحة التنفيذية لنظام التحكيم</w:t>
      </w:r>
      <w:r w:rsidRPr="00911000">
        <w:rPr>
          <w:rFonts w:ascii="yakout" w:hAnsi="yakout"/>
        </w:rPr>
        <w:t>.</w:t>
      </w:r>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وبعد الاطلاع على مشروع اللائحة المشار إليه</w:t>
      </w:r>
      <w:r w:rsidRPr="00911000">
        <w:rPr>
          <w:rFonts w:ascii="yakout" w:hAnsi="yakout"/>
        </w:rPr>
        <w:t>.</w:t>
      </w:r>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وبعد الاطلاع على قرار مجلس الوزراء رقم (156) وتاريخ 17-5-1433</w:t>
      </w:r>
      <w:proofErr w:type="gramStart"/>
      <w:r w:rsidRPr="00911000">
        <w:rPr>
          <w:rFonts w:ascii="yakout" w:hAnsi="yakout"/>
          <w:rtl/>
        </w:rPr>
        <w:t>هـ</w:t>
      </w:r>
      <w:r w:rsidRPr="00911000">
        <w:rPr>
          <w:rFonts w:ascii="yakout" w:hAnsi="yakout"/>
        </w:rPr>
        <w:t xml:space="preserve"> .</w:t>
      </w:r>
      <w:proofErr w:type="gramEnd"/>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وبعد الاطلاع على نظام التحكيم، الصادر بالمرسوم الملكي رقم (م/ 34) وتاريخ 24-5-1433هـ</w:t>
      </w:r>
      <w:r w:rsidRPr="00911000">
        <w:rPr>
          <w:rFonts w:ascii="yakout" w:hAnsi="yakout"/>
        </w:rPr>
        <w:t>.</w:t>
      </w:r>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وبعد الاطلاع على المحضر رقم (212) وتاريخ 2-3-1438هـ، والمذكرة رقم (823) وتاريخ 2-7-1438هـ، المعدين في هيئة الخبراء بمجلس الوزراء</w:t>
      </w:r>
      <w:r w:rsidRPr="00911000">
        <w:rPr>
          <w:rFonts w:ascii="yakout" w:hAnsi="yakout"/>
        </w:rPr>
        <w:t>.</w:t>
      </w:r>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وبعد الاطلاع على التوصية المعدة في مجلس الشؤون الاقتصادية والتنمية رقم (16/ 46/ 38/ د) وتاريخ 16-7-1438</w:t>
      </w:r>
      <w:proofErr w:type="gramStart"/>
      <w:r w:rsidRPr="00911000">
        <w:rPr>
          <w:rFonts w:ascii="yakout" w:hAnsi="yakout"/>
          <w:rtl/>
        </w:rPr>
        <w:t>هـ</w:t>
      </w:r>
      <w:r w:rsidRPr="00911000">
        <w:rPr>
          <w:rFonts w:ascii="yakout" w:hAnsi="yakout"/>
        </w:rPr>
        <w:t xml:space="preserve"> .</w:t>
      </w:r>
      <w:proofErr w:type="gramEnd"/>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وبعد الاطلاع على توصية اللجنة العامة لمجلس الوزراء رقم (3454) وتاريخ 19-8-1438</w:t>
      </w:r>
      <w:proofErr w:type="gramStart"/>
      <w:r w:rsidRPr="00911000">
        <w:rPr>
          <w:rFonts w:ascii="yakout" w:hAnsi="yakout"/>
          <w:rtl/>
        </w:rPr>
        <w:t>هـ</w:t>
      </w:r>
      <w:r w:rsidRPr="00911000">
        <w:rPr>
          <w:rFonts w:ascii="yakout" w:hAnsi="yakout"/>
        </w:rPr>
        <w:t xml:space="preserve"> .</w:t>
      </w:r>
      <w:proofErr w:type="gramEnd"/>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يقرر</w:t>
      </w:r>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الموافقة على اللائحة التنفيذية لنظام التحكيم، الصادر بالمرسوم الملكي رقم (م/ 34) وتاريخ 24-5-1433هـ، بالصيغة المرافقة</w:t>
      </w:r>
      <w:r w:rsidRPr="00911000">
        <w:rPr>
          <w:rFonts w:ascii="yakout" w:hAnsi="yakout"/>
        </w:rPr>
        <w:t>.</w:t>
      </w:r>
    </w:p>
    <w:p w:rsidR="00D06BAC" w:rsidRPr="00911000" w:rsidRDefault="00D06BAC" w:rsidP="00D06BAC">
      <w:pPr>
        <w:pStyle w:val="body"/>
        <w:bidi/>
        <w:spacing w:before="300" w:beforeAutospacing="0" w:after="0" w:afterAutospacing="0"/>
        <w:rPr>
          <w:rFonts w:ascii="yakout" w:hAnsi="yakout"/>
        </w:rPr>
      </w:pPr>
      <w:r w:rsidRPr="00911000">
        <w:rPr>
          <w:rFonts w:ascii="yakout" w:hAnsi="yakout"/>
          <w:rtl/>
        </w:rPr>
        <w:t>رئيس مجلس الوزراء</w:t>
      </w:r>
    </w:p>
    <w:p w:rsidR="00DC60DB" w:rsidRPr="00911000" w:rsidRDefault="00DC60DB" w:rsidP="00DC60DB">
      <w:pPr>
        <w:shd w:val="clear" w:color="auto" w:fill="FFFFFF"/>
        <w:spacing w:line="240" w:lineRule="auto"/>
        <w:jc w:val="center"/>
        <w:rPr>
          <w:rFonts w:ascii="Arial" w:eastAsia="Times New Roman" w:hAnsi="Arial" w:cs="Arial"/>
          <w:color w:val="222222"/>
          <w:sz w:val="36"/>
          <w:szCs w:val="36"/>
          <w:rtl/>
        </w:rPr>
      </w:pPr>
    </w:p>
    <w:p w:rsidR="00DC60DB" w:rsidRPr="00911000" w:rsidRDefault="00DC60DB" w:rsidP="00DC60DB">
      <w:pPr>
        <w:shd w:val="clear" w:color="auto" w:fill="FFFFFF"/>
        <w:spacing w:line="240" w:lineRule="auto"/>
        <w:jc w:val="center"/>
        <w:rPr>
          <w:rFonts w:ascii="Arial" w:eastAsia="Times New Roman" w:hAnsi="Arial" w:cs="Arial"/>
          <w:color w:val="222222"/>
          <w:sz w:val="36"/>
          <w:szCs w:val="36"/>
          <w:rtl/>
        </w:rPr>
      </w:pPr>
      <w:r w:rsidRPr="00911000">
        <w:rPr>
          <w:rFonts w:ascii="Arial" w:eastAsia="Times New Roman" w:hAnsi="Arial" w:cs="Arial"/>
          <w:color w:val="222222"/>
          <w:sz w:val="36"/>
          <w:szCs w:val="36"/>
          <w:rtl/>
        </w:rPr>
        <w:t>نصوص اللائحة التنفيذية لنظام التحكيم</w:t>
      </w:r>
      <w:r w:rsidRPr="00911000">
        <w:rPr>
          <w:rFonts w:ascii="Arial" w:eastAsia="Times New Roman" w:hAnsi="Arial" w:cs="Arial" w:hint="cs"/>
          <w:color w:val="222222"/>
          <w:sz w:val="36"/>
          <w:szCs w:val="36"/>
          <w:rtl/>
        </w:rPr>
        <w:t xml:space="preserve"> الجديد</w:t>
      </w:r>
    </w:p>
    <w:p w:rsidR="00C34DB3" w:rsidRPr="00911000" w:rsidRDefault="00C34DB3" w:rsidP="00DC60DB">
      <w:pPr>
        <w:bidi w:val="0"/>
        <w:spacing w:after="150" w:line="420" w:lineRule="atLeast"/>
        <w:jc w:val="right"/>
        <w:textAlignment w:val="baseline"/>
        <w:rPr>
          <w:rFonts w:ascii="inherit" w:eastAsia="Times New Roman" w:hAnsi="inherit" w:cs="Times New Roman"/>
          <w:color w:val="666666"/>
          <w:sz w:val="21"/>
          <w:szCs w:val="21"/>
        </w:rPr>
      </w:pP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الأولى</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لأغراض تطبيق النظام واللائحة، تدل الكلمات والعبارات الآتية على المعاني الموضحة أمام كل منها</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النظام: نظام التحكيم</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اللائحة: اللائحة التنفيذية لنظام التحكيم</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الثانية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lastRenderedPageBreak/>
        <w:t>لأغراض تطبيق النظام واللائحة، يقصد بالمحكمة المختصة المشار إليها في النظام واللائحة محكمة الاستئناف المختصة أصلًا بنظر النزاع، عدا الحالات الواردة في الفقرة (1) من المادة (التاسعة)، وفي المادة (الثانية عشرة)، وكذلك في عجز الفقرة (3) من المادة (الأربعين)، من النظام</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الثالثة</w:t>
      </w:r>
      <w:r w:rsidRPr="00911000">
        <w:rPr>
          <w:rFonts w:ascii="inherit" w:eastAsia="Times New Roman" w:hAnsi="inherit" w:cs="Times New Roman"/>
          <w:sz w:val="27"/>
          <w:szCs w:val="28"/>
        </w:rPr>
        <w:t>:</w:t>
      </w:r>
    </w:p>
    <w:p w:rsidR="00C34DB3" w:rsidRPr="00911000" w:rsidRDefault="00C34DB3" w:rsidP="00911000">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1 </w:t>
      </w:r>
      <w:r w:rsidRPr="00911000">
        <w:rPr>
          <w:rFonts w:ascii="inherit" w:eastAsia="Times New Roman" w:hAnsi="inherit" w:cs="Times New Roman"/>
          <w:sz w:val="27"/>
          <w:szCs w:val="28"/>
          <w:rtl/>
        </w:rPr>
        <w:t xml:space="preserve">ـ مع مراعاة ما ورد في النظام في شأن </w:t>
      </w:r>
      <w:proofErr w:type="spellStart"/>
      <w:r w:rsidRPr="00911000">
        <w:rPr>
          <w:rFonts w:ascii="inherit" w:eastAsia="Times New Roman" w:hAnsi="inherit" w:cs="Times New Roman"/>
          <w:sz w:val="27"/>
          <w:szCs w:val="28"/>
          <w:rtl/>
        </w:rPr>
        <w:t>الإبلاغات</w:t>
      </w:r>
      <w:proofErr w:type="spellEnd"/>
      <w:r w:rsidRPr="00911000">
        <w:rPr>
          <w:rFonts w:ascii="inherit" w:eastAsia="Times New Roman" w:hAnsi="inherit" w:cs="Times New Roman"/>
          <w:sz w:val="27"/>
          <w:szCs w:val="28"/>
          <w:rtl/>
        </w:rPr>
        <w:t>، يتحقق الإبلاغ بالوسائل الإلكترونية</w:t>
      </w:r>
      <w:r w:rsidRPr="00911000">
        <w:rPr>
          <w:rFonts w:ascii="inherit" w:eastAsia="Times New Roman" w:hAnsi="inherit" w:cs="Times New Roman"/>
          <w:sz w:val="27"/>
          <w:szCs w:val="28"/>
        </w:rPr>
        <w:t>.</w:t>
      </w:r>
      <w:r w:rsidR="00E61226" w:rsidRPr="00911000">
        <w:rPr>
          <w:rFonts w:ascii="inherit" w:eastAsia="Times New Roman" w:hAnsi="inherit" w:cs="Times New Roman" w:hint="cs"/>
          <w:sz w:val="27"/>
          <w:szCs w:val="28"/>
          <w:rtl/>
        </w:rPr>
        <w:t xml:space="preserve"> </w:t>
      </w: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فيما لم يرد فيه نص خاص، يبدأ سريان المدد الواردة في النظام واللائحة في اليوم التالي للإبلاغ ما لم يتفق طرفا التحكيم على غير ذلك، وإذا وافق آخر يوم في الميعاد عطلة رسمية ـ في محل إقامة المبلغ أو في مقر عمله ـ امتد الميعاد إلى أول يوم عمل بعدها، وما عدا ذلك فتحسب العطلة من الميعاد</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الرابعة</w:t>
      </w:r>
      <w:r w:rsidRPr="00911000">
        <w:rPr>
          <w:rFonts w:ascii="inherit" w:eastAsia="Times New Roman" w:hAnsi="inherit" w:cs="Times New Roman"/>
          <w:sz w:val="27"/>
          <w:szCs w:val="28"/>
        </w:rPr>
        <w:t>:</w:t>
      </w:r>
    </w:p>
    <w:p w:rsid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t>على الطرف الذي يطلب من المحكمة المختصة تعيين محكم أن يرفق بطلبه صورة من طلب التحكيم، وصورة من اتفاق التحكيم</w:t>
      </w:r>
      <w:r w:rsidRPr="00911000">
        <w:rPr>
          <w:rFonts w:ascii="inherit" w:eastAsia="Times New Roman" w:hAnsi="inherit" w:cs="Times New Roman"/>
          <w:sz w:val="27"/>
          <w:szCs w:val="28"/>
        </w:rPr>
        <w:t>.</w:t>
      </w:r>
      <w:r w:rsidR="00A302D7" w:rsidRPr="00911000">
        <w:rPr>
          <w:rFonts w:ascii="inherit" w:eastAsia="Times New Roman" w:hAnsi="inherit" w:cs="Times New Roman" w:hint="cs"/>
          <w:sz w:val="27"/>
          <w:szCs w:val="28"/>
          <w:rtl/>
        </w:rPr>
        <w:t xml:space="preserve"> </w:t>
      </w:r>
    </w:p>
    <w:p w:rsidR="00C34DB3" w:rsidRPr="00911000" w:rsidRDefault="00C34DB3" w:rsidP="00911000">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الخامسة</w:t>
      </w:r>
      <w:r w:rsidRPr="00911000">
        <w:rPr>
          <w:rFonts w:ascii="inherit" w:eastAsia="Times New Roman" w:hAnsi="inherit" w:cs="Times New Roman"/>
          <w:sz w:val="27"/>
          <w:szCs w:val="28"/>
        </w:rPr>
        <w:t>:</w:t>
      </w:r>
    </w:p>
    <w:p w:rsid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Pr>
        <w:t xml:space="preserve">1 </w:t>
      </w:r>
      <w:r w:rsidRPr="00911000">
        <w:rPr>
          <w:rFonts w:ascii="inherit" w:eastAsia="Times New Roman" w:hAnsi="inherit" w:cs="Times New Roman"/>
          <w:sz w:val="27"/>
          <w:szCs w:val="28"/>
          <w:rtl/>
        </w:rPr>
        <w:t>ـ للمحكم التنحي عن نظر النزاع إذا طُلب رده، دون أن يبدي أسباب تنحيه، ولا يعد هذا إقرارًا منه بصحة الأسباب التي استند إليها طالب الرد</w:t>
      </w:r>
      <w:r w:rsidRPr="00911000">
        <w:rPr>
          <w:rFonts w:ascii="inherit" w:eastAsia="Times New Roman" w:hAnsi="inherit" w:cs="Times New Roman"/>
          <w:sz w:val="27"/>
          <w:szCs w:val="28"/>
        </w:rPr>
        <w:t>.</w:t>
      </w:r>
      <w:r w:rsidR="002E410C" w:rsidRPr="00911000">
        <w:rPr>
          <w:rFonts w:ascii="inherit" w:eastAsia="Times New Roman" w:hAnsi="inherit" w:cs="Times New Roman" w:hint="cs"/>
          <w:sz w:val="27"/>
          <w:szCs w:val="28"/>
          <w:rtl/>
        </w:rPr>
        <w:t xml:space="preserve"> </w:t>
      </w:r>
    </w:p>
    <w:p w:rsidR="00C34DB3" w:rsidRPr="00911000" w:rsidRDefault="00C34DB3" w:rsidP="00911000">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لا يقبل طلب رد المحكم بعد قفل باب المرافعة</w:t>
      </w:r>
      <w:r w:rsidRPr="00911000">
        <w:rPr>
          <w:rFonts w:ascii="inherit" w:eastAsia="Times New Roman" w:hAnsi="inherit" w:cs="Times New Roman"/>
          <w:sz w:val="27"/>
          <w:szCs w:val="28"/>
        </w:rPr>
        <w:t>.</w:t>
      </w:r>
      <w:r w:rsidR="002E410C"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السادسة</w:t>
      </w:r>
      <w:r w:rsidRPr="00911000">
        <w:rPr>
          <w:rFonts w:ascii="inherit" w:eastAsia="Times New Roman" w:hAnsi="inherit" w:cs="Times New Roman"/>
          <w:sz w:val="27"/>
          <w:szCs w:val="28"/>
        </w:rPr>
        <w:t>:</w:t>
      </w:r>
    </w:p>
    <w:p w:rsid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t>إذا انتهت مهمة المحكم في الحالات الواردة في المادة (التاسعة عشرة) من النظام عدا حالة انتهاء مهمة المحكم برده، فتوقف إجراءات التحكيم إلى أن يُعيَّن محكم بديل وفق النظام</w:t>
      </w:r>
      <w:r w:rsidRPr="00911000">
        <w:rPr>
          <w:rFonts w:ascii="inherit" w:eastAsia="Times New Roman" w:hAnsi="inherit" w:cs="Times New Roman"/>
          <w:sz w:val="27"/>
          <w:szCs w:val="28"/>
        </w:rPr>
        <w:t>.</w:t>
      </w:r>
      <w:r w:rsidR="001C67CC" w:rsidRPr="00911000">
        <w:rPr>
          <w:rFonts w:ascii="inherit" w:eastAsia="Times New Roman" w:hAnsi="inherit" w:cs="Times New Roman" w:hint="cs"/>
          <w:sz w:val="27"/>
          <w:szCs w:val="28"/>
          <w:rtl/>
        </w:rPr>
        <w:t xml:space="preserve"> </w:t>
      </w:r>
    </w:p>
    <w:p w:rsidR="00C34DB3" w:rsidRP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t>المادة السابعة</w:t>
      </w:r>
      <w:r w:rsidRPr="00911000">
        <w:rPr>
          <w:rFonts w:ascii="inherit" w:eastAsia="Times New Roman" w:hAnsi="inherit" w:cs="Times New Roman"/>
          <w:sz w:val="27"/>
          <w:szCs w:val="28"/>
        </w:rPr>
        <w:t>:</w:t>
      </w:r>
      <w:r w:rsidR="00C111DB"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1 </w:t>
      </w:r>
      <w:r w:rsidRPr="00911000">
        <w:rPr>
          <w:rFonts w:ascii="inherit" w:eastAsia="Times New Roman" w:hAnsi="inherit" w:cs="Times New Roman"/>
          <w:sz w:val="27"/>
          <w:szCs w:val="28"/>
          <w:rtl/>
        </w:rPr>
        <w:t>ـ تودع نسخة من العقد المبرم مع المحكم ـ بحسب الأحوال ـ لدى مركز التحكيم السعودي، أو لدى هيئة أو منظمة أو مركز للتحكيم</w:t>
      </w:r>
      <w:r w:rsidRPr="00911000">
        <w:rPr>
          <w:rFonts w:ascii="inherit" w:eastAsia="Times New Roman" w:hAnsi="inherit" w:cs="Times New Roman"/>
          <w:sz w:val="27"/>
          <w:szCs w:val="28"/>
        </w:rPr>
        <w:t>.</w:t>
      </w:r>
      <w:r w:rsidR="00DD46E8"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للمحكمة ـ عند تحديد أتعاب المحكمين ـ طلب نسخة من العقود المبرمة مع المحكمين إن وجدت</w:t>
      </w:r>
      <w:r w:rsidRPr="00911000">
        <w:rPr>
          <w:rFonts w:ascii="inherit" w:eastAsia="Times New Roman" w:hAnsi="inherit" w:cs="Times New Roman"/>
          <w:sz w:val="27"/>
          <w:szCs w:val="28"/>
        </w:rPr>
        <w:t>.</w:t>
      </w:r>
      <w:r w:rsidR="00A446A7"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الثامنة</w:t>
      </w:r>
      <w:r w:rsidRPr="00911000">
        <w:rPr>
          <w:rFonts w:ascii="inherit" w:eastAsia="Times New Roman" w:hAnsi="inherit" w:cs="Times New Roman"/>
          <w:sz w:val="27"/>
          <w:szCs w:val="28"/>
        </w:rPr>
        <w:t>:</w:t>
      </w:r>
    </w:p>
    <w:p w:rsid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t>إذا لم يتفق طرفا التحكيم على الإجراءات التي تتبعها هيئة التحكيم، وقامت الهيئة باختيار إجراءات التحكيم التي تراها مناسبة وفقاً لحكم الفقرة (2) من المادة (الخامسة والعشرين) من النظام، تعين على الهيئة إشعار طرفا التحكيم بتلك الإجراءات، وذلك قبل بدء العمل بها بعشرة أيام على الأقل</w:t>
      </w:r>
      <w:r w:rsidR="00E86829" w:rsidRPr="00911000">
        <w:rPr>
          <w:rFonts w:ascii="inherit" w:eastAsia="Times New Roman" w:hAnsi="inherit" w:cs="Times New Roman" w:hint="cs"/>
          <w:sz w:val="27"/>
          <w:szCs w:val="28"/>
          <w:rtl/>
        </w:rPr>
        <w:t xml:space="preserve">. </w:t>
      </w:r>
    </w:p>
    <w:p w:rsidR="00C34DB3" w:rsidRPr="00911000" w:rsidRDefault="00C34DB3" w:rsidP="00911000">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التاسعة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lastRenderedPageBreak/>
        <w:t xml:space="preserve">1 </w:t>
      </w:r>
      <w:r w:rsidRPr="00911000">
        <w:rPr>
          <w:rFonts w:ascii="inherit" w:eastAsia="Times New Roman" w:hAnsi="inherit" w:cs="Times New Roman"/>
          <w:sz w:val="27"/>
          <w:szCs w:val="28"/>
          <w:rtl/>
        </w:rPr>
        <w:t>ـ على طالب التحكيم تضمين طلب التحكيم ـ المنصوص عليه في المادة (السادسة والعشرين) من النظام ـ البيانات الآتية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أ ـ اسمه، واسم من يمثله ـ إن وجد ـ ومهنة كل منهما، وجنسيته، وموطنه، وعنوانه، ووسائل الاتصال</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ب ـ اسم طرف التحكيم الآخر</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ج ـ بيان موجز بالعلاقة التعاقدية، واتفاق التحكيم، وموضوع النزاع، ووقائعه، والظروف التي أدت إلى تقديم طلب التحكيم</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د ـ مختصر يشمل طلبات طالب التحكيم</w:t>
      </w:r>
      <w:r w:rsidRPr="00911000">
        <w:rPr>
          <w:rFonts w:ascii="inherit" w:eastAsia="Times New Roman" w:hAnsi="inherit" w:cs="Times New Roman"/>
          <w:sz w:val="27"/>
          <w:szCs w:val="28"/>
        </w:rPr>
        <w:t>.</w:t>
      </w:r>
    </w:p>
    <w:p w:rsidR="00744BCE" w:rsidRPr="00911000" w:rsidRDefault="00C34DB3" w:rsidP="00744BCE">
      <w:pPr>
        <w:spacing w:after="150" w:line="420" w:lineRule="atLeast"/>
        <w:jc w:val="both"/>
        <w:textAlignment w:val="baseline"/>
        <w:rPr>
          <w:rFonts w:ascii="inherit" w:eastAsia="Times New Roman" w:hAnsi="inherit" w:cs="Times New Roman"/>
          <w:color w:val="FF0000"/>
          <w:sz w:val="27"/>
          <w:szCs w:val="28"/>
          <w:rtl/>
        </w:rPr>
      </w:pPr>
      <w:r w:rsidRPr="00911000">
        <w:rPr>
          <w:rFonts w:ascii="inherit" w:eastAsia="Times New Roman" w:hAnsi="inherit" w:cs="Times New Roman"/>
          <w:sz w:val="27"/>
          <w:szCs w:val="28"/>
          <w:rtl/>
        </w:rPr>
        <w:t>هـ ـ اقتراح بتعيين المحكم في حالة عدم النص على تسمية هيئة التحكيم وكان المحكم واحدًا، أو إشعار بتعيين المحكم المختار من قبل طالب التحكيم إذا كانت هيئة التحكيم مشكلة من ثلاثة أو أكثر</w:t>
      </w:r>
      <w:r w:rsidRPr="00911000">
        <w:rPr>
          <w:rFonts w:ascii="inherit" w:eastAsia="Times New Roman" w:hAnsi="inherit" w:cs="Times New Roman"/>
          <w:sz w:val="27"/>
          <w:szCs w:val="28"/>
        </w:rPr>
        <w:t>.</w:t>
      </w:r>
      <w:r w:rsidR="00F53264" w:rsidRPr="00911000">
        <w:rPr>
          <w:rFonts w:ascii="inherit" w:eastAsia="Times New Roman" w:hAnsi="inherit" w:cs="Times New Roman" w:hint="cs"/>
          <w:sz w:val="27"/>
          <w:szCs w:val="28"/>
          <w:rtl/>
        </w:rPr>
        <w:t xml:space="preserve"> </w:t>
      </w:r>
    </w:p>
    <w:p w:rsidR="00C34DB3" w:rsidRPr="00911000" w:rsidRDefault="00C34DB3" w:rsidP="00744BCE">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لا يحول دون تشكيل هيئة التحكيم أي خلاف يتعلق بمدى كفاية البيانات المضمنة بطلب التحكيم، وتتولى الهيئة حسم ذلك الخلاف</w:t>
      </w:r>
      <w:r w:rsidRPr="00911000">
        <w:rPr>
          <w:rFonts w:ascii="inherit" w:eastAsia="Times New Roman" w:hAnsi="inherit" w:cs="Times New Roman"/>
          <w:sz w:val="27"/>
          <w:szCs w:val="28"/>
        </w:rPr>
        <w:t>.</w:t>
      </w:r>
      <w:r w:rsidR="00744BCE"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العاشرة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إذا كانت هيئة التحكيم مُشكلة من محكم واحد ولم يتفق طرفا التحكيم على اختياره، تولت المحكمة المختصة اختياره بناءً على طلب من يهمه التعجيل، وذلك خلال خمسة عشر يوماً من تاريخ تقديم الطلب إلى المحكمة المختصة</w:t>
      </w:r>
      <w:r w:rsidRPr="00911000">
        <w:rPr>
          <w:rFonts w:ascii="inherit" w:eastAsia="Times New Roman" w:hAnsi="inherit" w:cs="Times New Roman"/>
          <w:sz w:val="27"/>
          <w:szCs w:val="28"/>
        </w:rPr>
        <w:t>.</w:t>
      </w:r>
      <w:r w:rsidR="005A3E69"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الحادية عشرة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t>إذا تعددت أطراف التحكيم، تبدأ الإجراءات من اليوم الذي يتسلم فيه آخر طرف طلب التحكيم</w:t>
      </w:r>
      <w:r w:rsidRPr="00911000">
        <w:rPr>
          <w:rFonts w:ascii="inherit" w:eastAsia="Times New Roman" w:hAnsi="inherit" w:cs="Times New Roman"/>
          <w:sz w:val="27"/>
          <w:szCs w:val="28"/>
        </w:rPr>
        <w:t>.</w:t>
      </w:r>
      <w:r w:rsidR="00F53264"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الثانية عشرة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1 </w:t>
      </w:r>
      <w:r w:rsidRPr="00911000">
        <w:rPr>
          <w:rFonts w:ascii="inherit" w:eastAsia="Times New Roman" w:hAnsi="inherit" w:cs="Times New Roman"/>
          <w:sz w:val="27"/>
          <w:szCs w:val="28"/>
          <w:rtl/>
        </w:rPr>
        <w:t>ـ على هيئة التحكيم أن تبين في قرارها المتعلق بتعيين الخبير مهمته والتدابير العاجلة التي يؤذن له في اتخاذها، والميعاد المحدد لإيداع التقرير، وتقدير أتعابه، ومبلغ السلفة الذي يودع لحساب مصروفات الخبيرـ عند الاقتضاءـ والطرف المكلف بإيداعها والميعاد المحدد لذلك</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في حال تخلف الطرف المكلف بإيداع مبلغ السلفة، ولم يبادر الطرف الآخر بإيداعه، يعد الخبير غير ملزم بأداء مهمته، ولهيئة التحكيم المضي في الإجراءات، وليس للطرف المكلف أن يتمسك بالقرار الصادر بتعيين الخبير إذا وجدت هيئة التحكيم أن تخلفه عن الإيداع كان بغير عذر مقبول</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3 </w:t>
      </w:r>
      <w:r w:rsidRPr="00911000">
        <w:rPr>
          <w:rFonts w:ascii="inherit" w:eastAsia="Times New Roman" w:hAnsi="inherit" w:cs="Times New Roman"/>
          <w:sz w:val="27"/>
          <w:szCs w:val="28"/>
          <w:rtl/>
        </w:rPr>
        <w:t>ـ لهيئة التحكيم أن تستبدل الخبير أو تتخذ ما تراه مناسبًا عند تخلفه عن إيداع تقريره في الميعاد المحدد بغير عذر مقبول</w:t>
      </w:r>
      <w:r w:rsidRPr="00911000">
        <w:rPr>
          <w:rFonts w:ascii="inherit" w:eastAsia="Times New Roman" w:hAnsi="inherit" w:cs="Times New Roman"/>
          <w:sz w:val="27"/>
          <w:szCs w:val="28"/>
        </w:rPr>
        <w:t>.</w:t>
      </w:r>
      <w:r w:rsidR="00744BCE"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الثالثة عشرة</w:t>
      </w:r>
      <w:r w:rsidRPr="00911000">
        <w:rPr>
          <w:rFonts w:ascii="inherit" w:eastAsia="Times New Roman" w:hAnsi="inherit" w:cs="Times New Roman"/>
          <w:sz w:val="27"/>
          <w:szCs w:val="28"/>
        </w:rPr>
        <w:t>:</w:t>
      </w:r>
    </w:p>
    <w:p w:rsid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lastRenderedPageBreak/>
        <w:t>لهيئة التحكيم قبول تدخل طرف آخر من غير أطراف التحكيم أو إدخاله، وذلك بعد موافقة أطراف التحكيم والطرف المطلوب إدخاله</w:t>
      </w:r>
      <w:r w:rsidRPr="00911000">
        <w:rPr>
          <w:rFonts w:ascii="inherit" w:eastAsia="Times New Roman" w:hAnsi="inherit" w:cs="Times New Roman"/>
          <w:sz w:val="27"/>
          <w:szCs w:val="28"/>
        </w:rPr>
        <w:t>.</w:t>
      </w:r>
      <w:r w:rsidR="00F53264" w:rsidRPr="00911000">
        <w:rPr>
          <w:rFonts w:ascii="inherit" w:eastAsia="Times New Roman" w:hAnsi="inherit" w:cs="Times New Roman" w:hint="cs"/>
          <w:sz w:val="27"/>
          <w:szCs w:val="28"/>
          <w:rtl/>
        </w:rPr>
        <w:t xml:space="preserve"> </w:t>
      </w:r>
    </w:p>
    <w:p w:rsidR="00C34DB3" w:rsidRPr="00911000" w:rsidRDefault="00C34DB3" w:rsidP="00911000">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الرابعة عشرة</w:t>
      </w:r>
      <w:r w:rsidRPr="00911000">
        <w:rPr>
          <w:rFonts w:ascii="inherit" w:eastAsia="Times New Roman" w:hAnsi="inherit" w:cs="Times New Roman"/>
          <w:sz w:val="27"/>
          <w:szCs w:val="28"/>
        </w:rPr>
        <w:t>:</w:t>
      </w:r>
    </w:p>
    <w:p w:rsid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Pr>
        <w:t xml:space="preserve">1 </w:t>
      </w:r>
      <w:r w:rsidRPr="00911000">
        <w:rPr>
          <w:rFonts w:ascii="inherit" w:eastAsia="Times New Roman" w:hAnsi="inherit" w:cs="Times New Roman"/>
          <w:sz w:val="27"/>
          <w:szCs w:val="28"/>
          <w:rtl/>
        </w:rPr>
        <w:t>ـ ينطق رئيس هيئة التحكيم بالحكم بعد إقفال باب المرافعة</w:t>
      </w:r>
      <w:r w:rsidRPr="00911000">
        <w:rPr>
          <w:rFonts w:ascii="inherit" w:eastAsia="Times New Roman" w:hAnsi="inherit" w:cs="Times New Roman"/>
          <w:sz w:val="27"/>
          <w:szCs w:val="28"/>
        </w:rPr>
        <w:t>.</w:t>
      </w:r>
      <w:r w:rsidR="00415FED" w:rsidRPr="00911000">
        <w:rPr>
          <w:rFonts w:ascii="inherit" w:eastAsia="Times New Roman" w:hAnsi="inherit" w:cs="Times New Roman" w:hint="cs"/>
          <w:sz w:val="27"/>
          <w:szCs w:val="28"/>
          <w:rtl/>
        </w:rPr>
        <w:t xml:space="preserve"> </w:t>
      </w:r>
    </w:p>
    <w:p w:rsidR="00911000" w:rsidRPr="00911000" w:rsidRDefault="00C34DB3" w:rsidP="00911000">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لهيئة التحكيم فتح باب المرافعة بعد إقفاله وقبل النطق بالحكم، وذلك بقرار يبلغ لأطراف التحكيم</w:t>
      </w:r>
      <w:r w:rsidRPr="00911000">
        <w:rPr>
          <w:rFonts w:ascii="inherit" w:eastAsia="Times New Roman" w:hAnsi="inherit" w:cs="Times New Roman"/>
          <w:sz w:val="27"/>
          <w:szCs w:val="28"/>
        </w:rPr>
        <w:t>.</w:t>
      </w:r>
      <w:r w:rsidR="000B2A45"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الخامسة عشرة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لا ينقضي اتفاق التحكيم بصدور قرار من هيئة التحكيم بإنهاء إجراءات التحكيم، ما لم يتفق طرفاه على خلاف ذلك</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السادسة عشرة</w:t>
      </w:r>
      <w:r w:rsidRPr="00911000">
        <w:rPr>
          <w:rFonts w:ascii="inherit" w:eastAsia="Times New Roman" w:hAnsi="inherit" w:cs="Times New Roman"/>
          <w:sz w:val="27"/>
          <w:szCs w:val="28"/>
        </w:rPr>
        <w:t>:</w:t>
      </w:r>
    </w:p>
    <w:p w:rsidR="00911000" w:rsidRDefault="00C34DB3" w:rsidP="00911000">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t>تسري على حكم التحكيم الإضافي الأحكام المنصوص عليها نظاماً في شأن حكم التحكيم، عدا ما يتعلق بمدة إصدار حكم التحكيم الإضافي</w:t>
      </w:r>
      <w:r w:rsidRPr="00911000">
        <w:rPr>
          <w:rFonts w:ascii="inherit" w:eastAsia="Times New Roman" w:hAnsi="inherit" w:cs="Times New Roman"/>
          <w:sz w:val="27"/>
          <w:szCs w:val="28"/>
        </w:rPr>
        <w:t>.</w:t>
      </w:r>
      <w:r w:rsidR="00E930AE" w:rsidRPr="00911000">
        <w:rPr>
          <w:rFonts w:ascii="inherit" w:eastAsia="Times New Roman" w:hAnsi="inherit" w:cs="Times New Roman" w:hint="cs"/>
          <w:sz w:val="27"/>
          <w:szCs w:val="28"/>
          <w:rtl/>
        </w:rPr>
        <w:t xml:space="preserve"> </w:t>
      </w:r>
    </w:p>
    <w:p w:rsidR="00C34DB3" w:rsidRPr="00911000" w:rsidRDefault="00C34DB3" w:rsidP="00911000">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السابعة عشرة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1 </w:t>
      </w:r>
      <w:r w:rsidRPr="00911000">
        <w:rPr>
          <w:rFonts w:ascii="inherit" w:eastAsia="Times New Roman" w:hAnsi="inherit" w:cs="Times New Roman"/>
          <w:sz w:val="27"/>
          <w:szCs w:val="28"/>
          <w:rtl/>
        </w:rPr>
        <w:t>ـ يكون الطعن على الحكم الصادر ببطلان حكم التحكيم الوارد في الفقرة (2) من المادة (الحادية والخمسين) من النظام أمام المحكمة العليا</w:t>
      </w:r>
      <w:r w:rsidRPr="00911000">
        <w:rPr>
          <w:rFonts w:ascii="inherit" w:eastAsia="Times New Roman" w:hAnsi="inherit" w:cs="Times New Roman"/>
          <w:sz w:val="27"/>
          <w:szCs w:val="28"/>
        </w:rPr>
        <w:t>.</w:t>
      </w:r>
      <w:r w:rsidR="000B2A45"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تكون الجهة المختصة المشار إليها في الفقرة (3) من المادة (الخامسة والخمسين) من النظام، هي المحكمة العليا</w:t>
      </w:r>
      <w:r w:rsidRPr="00911000">
        <w:rPr>
          <w:rFonts w:ascii="inherit" w:eastAsia="Times New Roman" w:hAnsi="inherit" w:cs="Times New Roman"/>
          <w:sz w:val="27"/>
          <w:szCs w:val="28"/>
        </w:rPr>
        <w:t>.</w:t>
      </w:r>
      <w:r w:rsidR="00024E0D"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الثامنة عشرة</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1 </w:t>
      </w:r>
      <w:r w:rsidRPr="00911000">
        <w:rPr>
          <w:rFonts w:ascii="inherit" w:eastAsia="Times New Roman" w:hAnsi="inherit" w:cs="Times New Roman"/>
          <w:sz w:val="27"/>
          <w:szCs w:val="28"/>
          <w:rtl/>
        </w:rPr>
        <w:t>ـ لا تقبل دعوى البطلان من مدعيه إذا تنازل عن حقه في رفع دعوى البطلان بعد صدور حكم التحكيم</w:t>
      </w:r>
      <w:r w:rsidRPr="00911000">
        <w:rPr>
          <w:rFonts w:ascii="inherit" w:eastAsia="Times New Roman" w:hAnsi="inherit" w:cs="Times New Roman"/>
          <w:sz w:val="27"/>
          <w:szCs w:val="28"/>
        </w:rPr>
        <w:t>.</w:t>
      </w:r>
      <w:r w:rsidR="00024E0D" w:rsidRPr="00911000">
        <w:rPr>
          <w:rFonts w:ascii="inherit" w:eastAsia="Times New Roman" w:hAnsi="inherit" w:cs="Times New Roman" w:hint="cs"/>
          <w:sz w:val="27"/>
          <w:szCs w:val="28"/>
          <w:rtl/>
        </w:rPr>
        <w:t xml:space="preserve"> </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Pr>
        <w:t xml:space="preserve">2 </w:t>
      </w:r>
      <w:r w:rsidRPr="00911000">
        <w:rPr>
          <w:rFonts w:ascii="inherit" w:eastAsia="Times New Roman" w:hAnsi="inherit" w:cs="Times New Roman"/>
          <w:sz w:val="27"/>
          <w:szCs w:val="28"/>
          <w:rtl/>
        </w:rPr>
        <w:t>ـ يقدم مدعي البطلان ـ مرافقاً لدعواه ـ الآتي</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أ ـ أصل حكم التحكيم أو صورة مصدقة منه</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ب ـ صورة طبق الأصل من اتفاق التحكيم</w:t>
      </w:r>
      <w:r w:rsidRPr="00911000">
        <w:rPr>
          <w:rFonts w:ascii="inherit" w:eastAsia="Times New Roman" w:hAnsi="inherit" w:cs="Times New Roman"/>
          <w:sz w:val="27"/>
          <w:szCs w:val="28"/>
        </w:rPr>
        <w:t>.</w:t>
      </w:r>
    </w:p>
    <w:p w:rsidR="00C34DB3" w:rsidRPr="00911000" w:rsidRDefault="00C34DB3" w:rsidP="00DC60DB">
      <w:pPr>
        <w:spacing w:after="150" w:line="420" w:lineRule="atLeast"/>
        <w:jc w:val="both"/>
        <w:textAlignment w:val="baseline"/>
        <w:rPr>
          <w:rFonts w:ascii="inherit" w:eastAsia="Times New Roman" w:hAnsi="inherit" w:cs="Times New Roman"/>
          <w:color w:val="FF0000"/>
          <w:sz w:val="27"/>
          <w:szCs w:val="28"/>
        </w:rPr>
      </w:pPr>
      <w:r w:rsidRPr="00911000">
        <w:rPr>
          <w:rFonts w:ascii="inherit" w:eastAsia="Times New Roman" w:hAnsi="inherit" w:cs="Times New Roman"/>
          <w:sz w:val="27"/>
          <w:szCs w:val="28"/>
          <w:rtl/>
        </w:rPr>
        <w:t>ج ـ ترجمة لحكم التحكيم إلى اللغة العربية مصدقة من جهة معتمدة، إذا كان صادراً بلغة أخرى</w:t>
      </w:r>
      <w:r w:rsidRPr="00911000">
        <w:rPr>
          <w:rFonts w:ascii="inherit" w:eastAsia="Times New Roman" w:hAnsi="inherit" w:cs="Times New Roman"/>
          <w:sz w:val="27"/>
          <w:szCs w:val="28"/>
        </w:rPr>
        <w:t>.</w:t>
      </w:r>
      <w:r w:rsidR="00E930AE" w:rsidRPr="00911000">
        <w:rPr>
          <w:rFonts w:ascii="inherit" w:eastAsia="Times New Roman" w:hAnsi="inherit" w:cs="Times New Roman" w:hint="cs"/>
          <w:sz w:val="27"/>
          <w:szCs w:val="28"/>
          <w:rtl/>
        </w:rPr>
        <w:t xml:space="preserve"> </w:t>
      </w:r>
      <w:bookmarkStart w:id="0" w:name="_GoBack"/>
      <w:bookmarkEnd w:id="0"/>
    </w:p>
    <w:p w:rsidR="00C34DB3" w:rsidRPr="00911000"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المادة التاسعة عشرة</w:t>
      </w:r>
      <w:r w:rsidRPr="00911000">
        <w:rPr>
          <w:rFonts w:ascii="inherit" w:eastAsia="Times New Roman" w:hAnsi="inherit" w:cs="Times New Roman"/>
          <w:sz w:val="27"/>
          <w:szCs w:val="28"/>
        </w:rPr>
        <w:t>:</w:t>
      </w:r>
    </w:p>
    <w:p w:rsidR="00C34DB3" w:rsidRPr="00DC60DB" w:rsidRDefault="00C34DB3" w:rsidP="00DC60DB">
      <w:pPr>
        <w:spacing w:after="150" w:line="420" w:lineRule="atLeast"/>
        <w:jc w:val="both"/>
        <w:textAlignment w:val="baseline"/>
        <w:rPr>
          <w:rFonts w:ascii="inherit" w:eastAsia="Times New Roman" w:hAnsi="inherit" w:cs="Times New Roman"/>
          <w:sz w:val="27"/>
          <w:szCs w:val="28"/>
        </w:rPr>
      </w:pPr>
      <w:r w:rsidRPr="00911000">
        <w:rPr>
          <w:rFonts w:ascii="inherit" w:eastAsia="Times New Roman" w:hAnsi="inherit" w:cs="Times New Roman"/>
          <w:sz w:val="27"/>
          <w:szCs w:val="28"/>
          <w:rtl/>
        </w:rPr>
        <w:t>تنشر هذه اللائحة في الجريدة الرسمية، ويعمل بها من تاريخ نشرها</w:t>
      </w:r>
      <w:r w:rsidRPr="00911000">
        <w:rPr>
          <w:rFonts w:ascii="inherit" w:eastAsia="Times New Roman" w:hAnsi="inherit" w:cs="Times New Roman"/>
          <w:sz w:val="27"/>
          <w:szCs w:val="28"/>
        </w:rPr>
        <w:t>.</w:t>
      </w:r>
    </w:p>
    <w:p w:rsidR="00C34DB3" w:rsidRPr="00DC60DB" w:rsidRDefault="00DC60DB" w:rsidP="00DC60DB">
      <w:pPr>
        <w:tabs>
          <w:tab w:val="left" w:pos="2486"/>
        </w:tabs>
        <w:jc w:val="both"/>
        <w:rPr>
          <w:sz w:val="32"/>
          <w:szCs w:val="32"/>
        </w:rPr>
      </w:pPr>
      <w:r w:rsidRPr="00DC60DB">
        <w:rPr>
          <w:sz w:val="32"/>
          <w:szCs w:val="32"/>
          <w:rtl/>
        </w:rPr>
        <w:tab/>
      </w:r>
    </w:p>
    <w:sectPr w:rsidR="00C34DB3" w:rsidRPr="00DC60DB" w:rsidSect="00C72A5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kout">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140D6"/>
    <w:multiLevelType w:val="multilevel"/>
    <w:tmpl w:val="15B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DB3"/>
    <w:rsid w:val="00024E0D"/>
    <w:rsid w:val="000B2A45"/>
    <w:rsid w:val="001C67CC"/>
    <w:rsid w:val="0025645F"/>
    <w:rsid w:val="00262564"/>
    <w:rsid w:val="002E410C"/>
    <w:rsid w:val="00304B73"/>
    <w:rsid w:val="0031222C"/>
    <w:rsid w:val="003B1B5E"/>
    <w:rsid w:val="00415FED"/>
    <w:rsid w:val="004E2886"/>
    <w:rsid w:val="004F5E0D"/>
    <w:rsid w:val="005A3E69"/>
    <w:rsid w:val="005E2FA6"/>
    <w:rsid w:val="00601EDB"/>
    <w:rsid w:val="006B0996"/>
    <w:rsid w:val="00744BCE"/>
    <w:rsid w:val="00911000"/>
    <w:rsid w:val="00A302D7"/>
    <w:rsid w:val="00A31EB1"/>
    <w:rsid w:val="00A446A7"/>
    <w:rsid w:val="00AC5F0F"/>
    <w:rsid w:val="00AD211A"/>
    <w:rsid w:val="00B310CF"/>
    <w:rsid w:val="00B94C13"/>
    <w:rsid w:val="00C111DB"/>
    <w:rsid w:val="00C34DB3"/>
    <w:rsid w:val="00C72A57"/>
    <w:rsid w:val="00CA4517"/>
    <w:rsid w:val="00CA6EF8"/>
    <w:rsid w:val="00CB73E7"/>
    <w:rsid w:val="00CD480C"/>
    <w:rsid w:val="00D06BAC"/>
    <w:rsid w:val="00D779AA"/>
    <w:rsid w:val="00DC60DB"/>
    <w:rsid w:val="00DD46E8"/>
    <w:rsid w:val="00E61226"/>
    <w:rsid w:val="00E86829"/>
    <w:rsid w:val="00E930AE"/>
    <w:rsid w:val="00F53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1A62"/>
  <w15:docId w15:val="{2EDF2E6B-CA8F-1447-BF9A-A3F8D90F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34DB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4DB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D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4D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4DB3"/>
    <w:rPr>
      <w:color w:val="0000FF"/>
      <w:u w:val="single"/>
    </w:rPr>
  </w:style>
  <w:style w:type="character" w:customStyle="1" w:styleId="field-content">
    <w:name w:val="field-content"/>
    <w:basedOn w:val="DefaultParagraphFont"/>
    <w:rsid w:val="00C34DB3"/>
  </w:style>
  <w:style w:type="paragraph" w:styleId="NormalWeb">
    <w:name w:val="Normal (Web)"/>
    <w:basedOn w:val="Normal"/>
    <w:uiPriority w:val="99"/>
    <w:semiHidden/>
    <w:unhideWhenUsed/>
    <w:rsid w:val="00C34D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B3"/>
    <w:rPr>
      <w:rFonts w:ascii="Tahoma" w:hAnsi="Tahoma" w:cs="Tahoma"/>
      <w:sz w:val="16"/>
      <w:szCs w:val="16"/>
    </w:rPr>
  </w:style>
  <w:style w:type="character" w:customStyle="1" w:styleId="1">
    <w:name w:val="تاريخ1"/>
    <w:basedOn w:val="DefaultParagraphFont"/>
    <w:rsid w:val="00D06BAC"/>
  </w:style>
  <w:style w:type="character" w:customStyle="1" w:styleId="rsskip">
    <w:name w:val="rs_skip"/>
    <w:basedOn w:val="DefaultParagraphFont"/>
    <w:rsid w:val="00D06BAC"/>
  </w:style>
  <w:style w:type="paragraph" w:customStyle="1" w:styleId="body">
    <w:name w:val="body"/>
    <w:basedOn w:val="Normal"/>
    <w:rsid w:val="00D06B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8463">
      <w:bodyDiv w:val="1"/>
      <w:marLeft w:val="0"/>
      <w:marRight w:val="0"/>
      <w:marTop w:val="0"/>
      <w:marBottom w:val="0"/>
      <w:divBdr>
        <w:top w:val="none" w:sz="0" w:space="0" w:color="auto"/>
        <w:left w:val="none" w:sz="0" w:space="0" w:color="auto"/>
        <w:bottom w:val="none" w:sz="0" w:space="0" w:color="auto"/>
        <w:right w:val="none" w:sz="0" w:space="0" w:color="auto"/>
      </w:divBdr>
      <w:divsChild>
        <w:div w:id="134834122">
          <w:marLeft w:val="0"/>
          <w:marRight w:val="0"/>
          <w:marTop w:val="0"/>
          <w:marBottom w:val="0"/>
          <w:divBdr>
            <w:top w:val="none" w:sz="0" w:space="0" w:color="auto"/>
            <w:left w:val="none" w:sz="0" w:space="0" w:color="auto"/>
            <w:bottom w:val="none" w:sz="0" w:space="0" w:color="auto"/>
            <w:right w:val="none" w:sz="0" w:space="0" w:color="auto"/>
          </w:divBdr>
        </w:div>
      </w:divsChild>
    </w:div>
    <w:div w:id="880702344">
      <w:bodyDiv w:val="1"/>
      <w:marLeft w:val="0"/>
      <w:marRight w:val="0"/>
      <w:marTop w:val="0"/>
      <w:marBottom w:val="0"/>
      <w:divBdr>
        <w:top w:val="none" w:sz="0" w:space="0" w:color="auto"/>
        <w:left w:val="none" w:sz="0" w:space="0" w:color="auto"/>
        <w:bottom w:val="none" w:sz="0" w:space="0" w:color="auto"/>
        <w:right w:val="none" w:sz="0" w:space="0" w:color="auto"/>
      </w:divBdr>
      <w:divsChild>
        <w:div w:id="1796871801">
          <w:marLeft w:val="0"/>
          <w:marRight w:val="0"/>
          <w:marTop w:val="0"/>
          <w:marBottom w:val="165"/>
          <w:divBdr>
            <w:top w:val="none" w:sz="0" w:space="0" w:color="auto"/>
            <w:left w:val="none" w:sz="0" w:space="0" w:color="auto"/>
            <w:bottom w:val="none" w:sz="0" w:space="0" w:color="auto"/>
            <w:right w:val="none" w:sz="0" w:space="0" w:color="auto"/>
          </w:divBdr>
          <w:divsChild>
            <w:div w:id="1505628731">
              <w:marLeft w:val="0"/>
              <w:marRight w:val="0"/>
              <w:marTop w:val="0"/>
              <w:marBottom w:val="0"/>
              <w:divBdr>
                <w:top w:val="none" w:sz="0" w:space="0" w:color="auto"/>
                <w:left w:val="none" w:sz="0" w:space="0" w:color="auto"/>
                <w:bottom w:val="none" w:sz="0" w:space="0" w:color="auto"/>
                <w:right w:val="none" w:sz="0" w:space="0" w:color="auto"/>
              </w:divBdr>
              <w:divsChild>
                <w:div w:id="10415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843">
          <w:marLeft w:val="0"/>
          <w:marRight w:val="0"/>
          <w:marTop w:val="0"/>
          <w:marBottom w:val="0"/>
          <w:divBdr>
            <w:top w:val="none" w:sz="0" w:space="0" w:color="auto"/>
            <w:left w:val="none" w:sz="0" w:space="0" w:color="auto"/>
            <w:bottom w:val="none" w:sz="0" w:space="0" w:color="auto"/>
            <w:right w:val="none" w:sz="0" w:space="0" w:color="auto"/>
          </w:divBdr>
          <w:divsChild>
            <w:div w:id="485635084">
              <w:marLeft w:val="0"/>
              <w:marRight w:val="0"/>
              <w:marTop w:val="0"/>
              <w:marBottom w:val="0"/>
              <w:divBdr>
                <w:top w:val="none" w:sz="0" w:space="0" w:color="auto"/>
                <w:left w:val="none" w:sz="0" w:space="0" w:color="auto"/>
                <w:bottom w:val="none" w:sz="0" w:space="0" w:color="auto"/>
                <w:right w:val="none" w:sz="0" w:space="0" w:color="auto"/>
              </w:divBdr>
              <w:divsChild>
                <w:div w:id="10341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520">
          <w:marLeft w:val="0"/>
          <w:marRight w:val="0"/>
          <w:marTop w:val="0"/>
          <w:marBottom w:val="180"/>
          <w:divBdr>
            <w:top w:val="none" w:sz="0" w:space="0" w:color="auto"/>
            <w:left w:val="none" w:sz="0" w:space="0" w:color="auto"/>
            <w:bottom w:val="none" w:sz="0" w:space="0" w:color="auto"/>
            <w:right w:val="none" w:sz="0" w:space="0" w:color="auto"/>
          </w:divBdr>
        </w:div>
        <w:div w:id="475219175">
          <w:marLeft w:val="0"/>
          <w:marRight w:val="0"/>
          <w:marTop w:val="30"/>
          <w:marBottom w:val="0"/>
          <w:divBdr>
            <w:top w:val="none" w:sz="0" w:space="0" w:color="auto"/>
            <w:left w:val="none" w:sz="0" w:space="0" w:color="auto"/>
            <w:bottom w:val="none" w:sz="0" w:space="0" w:color="auto"/>
            <w:right w:val="none" w:sz="0" w:space="0" w:color="auto"/>
          </w:divBdr>
          <w:divsChild>
            <w:div w:id="2115783959">
              <w:marLeft w:val="0"/>
              <w:marRight w:val="0"/>
              <w:marTop w:val="0"/>
              <w:marBottom w:val="0"/>
              <w:divBdr>
                <w:top w:val="none" w:sz="0" w:space="0" w:color="auto"/>
                <w:left w:val="none" w:sz="0" w:space="0" w:color="auto"/>
                <w:bottom w:val="none" w:sz="0" w:space="0" w:color="auto"/>
                <w:right w:val="none" w:sz="0" w:space="0" w:color="auto"/>
              </w:divBdr>
              <w:divsChild>
                <w:div w:id="302076917">
                  <w:marLeft w:val="0"/>
                  <w:marRight w:val="0"/>
                  <w:marTop w:val="0"/>
                  <w:marBottom w:val="0"/>
                  <w:divBdr>
                    <w:top w:val="none" w:sz="0" w:space="0" w:color="auto"/>
                    <w:left w:val="none" w:sz="0" w:space="0" w:color="auto"/>
                    <w:bottom w:val="none" w:sz="0" w:space="0" w:color="auto"/>
                    <w:right w:val="none" w:sz="0" w:space="0" w:color="auto"/>
                  </w:divBdr>
                  <w:divsChild>
                    <w:div w:id="300355889">
                      <w:marLeft w:val="0"/>
                      <w:marRight w:val="0"/>
                      <w:marTop w:val="0"/>
                      <w:marBottom w:val="0"/>
                      <w:divBdr>
                        <w:top w:val="none" w:sz="0" w:space="0" w:color="auto"/>
                        <w:left w:val="none" w:sz="0" w:space="0" w:color="auto"/>
                        <w:bottom w:val="none" w:sz="0" w:space="0" w:color="auto"/>
                        <w:right w:val="none" w:sz="0" w:space="0" w:color="auto"/>
                      </w:divBdr>
                      <w:divsChild>
                        <w:div w:id="688525093">
                          <w:marLeft w:val="0"/>
                          <w:marRight w:val="150"/>
                          <w:marTop w:val="0"/>
                          <w:marBottom w:val="0"/>
                          <w:divBdr>
                            <w:top w:val="none" w:sz="0" w:space="0" w:color="auto"/>
                            <w:left w:val="none" w:sz="0" w:space="0" w:color="auto"/>
                            <w:bottom w:val="none" w:sz="0" w:space="0" w:color="auto"/>
                            <w:right w:val="none" w:sz="0" w:space="0" w:color="auto"/>
                          </w:divBdr>
                        </w:div>
                        <w:div w:id="2915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81430">
          <w:marLeft w:val="0"/>
          <w:marRight w:val="0"/>
          <w:marTop w:val="0"/>
          <w:marBottom w:val="0"/>
          <w:divBdr>
            <w:top w:val="none" w:sz="0" w:space="0" w:color="auto"/>
            <w:left w:val="none" w:sz="0" w:space="0" w:color="auto"/>
            <w:bottom w:val="none" w:sz="0" w:space="0" w:color="auto"/>
            <w:right w:val="none" w:sz="0" w:space="0" w:color="auto"/>
          </w:divBdr>
          <w:divsChild>
            <w:div w:id="864560843">
              <w:marLeft w:val="0"/>
              <w:marRight w:val="0"/>
              <w:marTop w:val="0"/>
              <w:marBottom w:val="0"/>
              <w:divBdr>
                <w:top w:val="none" w:sz="0" w:space="0" w:color="auto"/>
                <w:left w:val="none" w:sz="0" w:space="0" w:color="auto"/>
                <w:bottom w:val="none" w:sz="0" w:space="0" w:color="auto"/>
                <w:right w:val="none" w:sz="0" w:space="0" w:color="auto"/>
              </w:divBdr>
              <w:divsChild>
                <w:div w:id="178742457">
                  <w:marLeft w:val="0"/>
                  <w:marRight w:val="0"/>
                  <w:marTop w:val="75"/>
                  <w:marBottom w:val="75"/>
                  <w:divBdr>
                    <w:top w:val="none" w:sz="0" w:space="0" w:color="auto"/>
                    <w:left w:val="none" w:sz="0" w:space="0" w:color="auto"/>
                    <w:bottom w:val="none" w:sz="0" w:space="0" w:color="auto"/>
                    <w:right w:val="none" w:sz="0" w:space="0" w:color="auto"/>
                  </w:divBdr>
                  <w:divsChild>
                    <w:div w:id="19483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5319">
          <w:marLeft w:val="0"/>
          <w:marRight w:val="0"/>
          <w:marTop w:val="300"/>
          <w:marBottom w:val="300"/>
          <w:divBdr>
            <w:top w:val="none" w:sz="0" w:space="0" w:color="auto"/>
            <w:left w:val="none" w:sz="0" w:space="0" w:color="auto"/>
            <w:bottom w:val="none" w:sz="0" w:space="0" w:color="auto"/>
            <w:right w:val="none" w:sz="0" w:space="0" w:color="auto"/>
          </w:divBdr>
          <w:divsChild>
            <w:div w:id="1358433576">
              <w:marLeft w:val="0"/>
              <w:marRight w:val="0"/>
              <w:marTop w:val="0"/>
              <w:marBottom w:val="0"/>
              <w:divBdr>
                <w:top w:val="none" w:sz="0" w:space="0" w:color="auto"/>
                <w:left w:val="none" w:sz="0" w:space="0" w:color="auto"/>
                <w:bottom w:val="none" w:sz="0" w:space="0" w:color="auto"/>
                <w:right w:val="none" w:sz="0" w:space="0" w:color="auto"/>
              </w:divBdr>
              <w:divsChild>
                <w:div w:id="1832217393">
                  <w:marLeft w:val="150"/>
                  <w:marRight w:val="0"/>
                  <w:marTop w:val="0"/>
                  <w:marBottom w:val="0"/>
                  <w:divBdr>
                    <w:top w:val="none" w:sz="0" w:space="0" w:color="auto"/>
                    <w:left w:val="none" w:sz="0" w:space="0" w:color="auto"/>
                    <w:bottom w:val="none" w:sz="0" w:space="0" w:color="auto"/>
                    <w:right w:val="none" w:sz="0" w:space="0" w:color="auto"/>
                  </w:divBdr>
                  <w:divsChild>
                    <w:div w:id="97215730">
                      <w:marLeft w:val="0"/>
                      <w:marRight w:val="0"/>
                      <w:marTop w:val="0"/>
                      <w:marBottom w:val="0"/>
                      <w:divBdr>
                        <w:top w:val="none" w:sz="0" w:space="0" w:color="auto"/>
                        <w:left w:val="none" w:sz="0" w:space="0" w:color="auto"/>
                        <w:bottom w:val="none" w:sz="0" w:space="0" w:color="auto"/>
                        <w:right w:val="none" w:sz="0" w:space="0" w:color="auto"/>
                      </w:divBdr>
                      <w:divsChild>
                        <w:div w:id="1120611531">
                          <w:marLeft w:val="0"/>
                          <w:marRight w:val="0"/>
                          <w:marTop w:val="0"/>
                          <w:marBottom w:val="0"/>
                          <w:divBdr>
                            <w:top w:val="none" w:sz="0" w:space="0" w:color="auto"/>
                            <w:left w:val="none" w:sz="0" w:space="0" w:color="auto"/>
                            <w:bottom w:val="none" w:sz="0" w:space="0" w:color="auto"/>
                            <w:right w:val="none" w:sz="0" w:space="0" w:color="auto"/>
                          </w:divBdr>
                          <w:divsChild>
                            <w:div w:id="1826737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1290661">
                      <w:marLeft w:val="0"/>
                      <w:marRight w:val="0"/>
                      <w:marTop w:val="0"/>
                      <w:marBottom w:val="0"/>
                      <w:divBdr>
                        <w:top w:val="none" w:sz="0" w:space="0" w:color="auto"/>
                        <w:left w:val="none" w:sz="0" w:space="0" w:color="auto"/>
                        <w:bottom w:val="none" w:sz="0" w:space="0" w:color="auto"/>
                        <w:right w:val="none" w:sz="0" w:space="0" w:color="auto"/>
                      </w:divBdr>
                      <w:divsChild>
                        <w:div w:id="1714577466">
                          <w:marLeft w:val="0"/>
                          <w:marRight w:val="0"/>
                          <w:marTop w:val="0"/>
                          <w:marBottom w:val="0"/>
                          <w:divBdr>
                            <w:top w:val="none" w:sz="0" w:space="0" w:color="auto"/>
                            <w:left w:val="none" w:sz="0" w:space="0" w:color="auto"/>
                            <w:bottom w:val="none" w:sz="0" w:space="0" w:color="auto"/>
                            <w:right w:val="none" w:sz="0" w:space="0" w:color="auto"/>
                          </w:divBdr>
                          <w:divsChild>
                            <w:div w:id="121400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42665">
          <w:marLeft w:val="0"/>
          <w:marRight w:val="0"/>
          <w:marTop w:val="0"/>
          <w:marBottom w:val="0"/>
          <w:divBdr>
            <w:top w:val="none" w:sz="0" w:space="0" w:color="auto"/>
            <w:left w:val="none" w:sz="0" w:space="0" w:color="auto"/>
            <w:bottom w:val="none" w:sz="0" w:space="0" w:color="auto"/>
            <w:right w:val="none" w:sz="0" w:space="0" w:color="auto"/>
          </w:divBdr>
          <w:divsChild>
            <w:div w:id="1803228823">
              <w:marLeft w:val="0"/>
              <w:marRight w:val="0"/>
              <w:marTop w:val="0"/>
              <w:marBottom w:val="0"/>
              <w:divBdr>
                <w:top w:val="none" w:sz="0" w:space="0" w:color="auto"/>
                <w:left w:val="none" w:sz="0" w:space="0" w:color="auto"/>
                <w:bottom w:val="none" w:sz="0" w:space="0" w:color="auto"/>
                <w:right w:val="none" w:sz="0" w:space="0" w:color="auto"/>
              </w:divBdr>
              <w:divsChild>
                <w:div w:id="17669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2254">
      <w:bodyDiv w:val="1"/>
      <w:marLeft w:val="0"/>
      <w:marRight w:val="0"/>
      <w:marTop w:val="0"/>
      <w:marBottom w:val="0"/>
      <w:divBdr>
        <w:top w:val="none" w:sz="0" w:space="0" w:color="auto"/>
        <w:left w:val="none" w:sz="0" w:space="0" w:color="auto"/>
        <w:bottom w:val="none" w:sz="0" w:space="0" w:color="auto"/>
        <w:right w:val="none" w:sz="0" w:space="0" w:color="auto"/>
      </w:divBdr>
      <w:divsChild>
        <w:div w:id="325478102">
          <w:marLeft w:val="0"/>
          <w:marRight w:val="0"/>
          <w:marTop w:val="0"/>
          <w:marBottom w:val="0"/>
          <w:divBdr>
            <w:top w:val="none" w:sz="0" w:space="0" w:color="auto"/>
            <w:left w:val="none" w:sz="0" w:space="0" w:color="auto"/>
            <w:bottom w:val="none" w:sz="0" w:space="0" w:color="auto"/>
            <w:right w:val="none" w:sz="0" w:space="0" w:color="auto"/>
          </w:divBdr>
          <w:divsChild>
            <w:div w:id="1557424790">
              <w:marLeft w:val="0"/>
              <w:marRight w:val="0"/>
              <w:marTop w:val="0"/>
              <w:marBottom w:val="0"/>
              <w:divBdr>
                <w:top w:val="none" w:sz="0" w:space="0" w:color="auto"/>
                <w:left w:val="none" w:sz="0" w:space="0" w:color="auto"/>
                <w:bottom w:val="none" w:sz="0" w:space="0" w:color="auto"/>
                <w:right w:val="none" w:sz="0" w:space="0" w:color="auto"/>
              </w:divBdr>
              <w:divsChild>
                <w:div w:id="1809398871">
                  <w:marLeft w:val="0"/>
                  <w:marRight w:val="0"/>
                  <w:marTop w:val="0"/>
                  <w:marBottom w:val="375"/>
                  <w:divBdr>
                    <w:top w:val="none" w:sz="0" w:space="0" w:color="auto"/>
                    <w:left w:val="none" w:sz="0" w:space="0" w:color="auto"/>
                    <w:bottom w:val="none" w:sz="0" w:space="0" w:color="auto"/>
                    <w:right w:val="none" w:sz="0" w:space="0" w:color="auto"/>
                  </w:divBdr>
                  <w:divsChild>
                    <w:div w:id="2881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7060">
      <w:bodyDiv w:val="1"/>
      <w:marLeft w:val="0"/>
      <w:marRight w:val="0"/>
      <w:marTop w:val="0"/>
      <w:marBottom w:val="0"/>
      <w:divBdr>
        <w:top w:val="none" w:sz="0" w:space="0" w:color="auto"/>
        <w:left w:val="none" w:sz="0" w:space="0" w:color="auto"/>
        <w:bottom w:val="none" w:sz="0" w:space="0" w:color="auto"/>
        <w:right w:val="none" w:sz="0" w:space="0" w:color="auto"/>
      </w:divBdr>
      <w:divsChild>
        <w:div w:id="707340400">
          <w:marLeft w:val="0"/>
          <w:marRight w:val="0"/>
          <w:marTop w:val="0"/>
          <w:marBottom w:val="0"/>
          <w:divBdr>
            <w:top w:val="none" w:sz="0" w:space="0" w:color="auto"/>
            <w:left w:val="none" w:sz="0" w:space="0" w:color="auto"/>
            <w:bottom w:val="none" w:sz="0" w:space="0" w:color="auto"/>
            <w:right w:val="none" w:sz="0" w:space="0" w:color="auto"/>
          </w:divBdr>
          <w:divsChild>
            <w:div w:id="1722434979">
              <w:marLeft w:val="0"/>
              <w:marRight w:val="0"/>
              <w:marTop w:val="0"/>
              <w:marBottom w:val="0"/>
              <w:divBdr>
                <w:top w:val="none" w:sz="0" w:space="0" w:color="auto"/>
                <w:left w:val="none" w:sz="0" w:space="0" w:color="auto"/>
                <w:bottom w:val="none" w:sz="0" w:space="0" w:color="auto"/>
                <w:right w:val="none" w:sz="0" w:space="0" w:color="auto"/>
              </w:divBdr>
              <w:divsChild>
                <w:div w:id="962805278">
                  <w:marLeft w:val="-4800"/>
                  <w:marRight w:val="0"/>
                  <w:marTop w:val="0"/>
                  <w:marBottom w:val="0"/>
                  <w:divBdr>
                    <w:top w:val="none" w:sz="0" w:space="0" w:color="auto"/>
                    <w:left w:val="none" w:sz="0" w:space="0" w:color="auto"/>
                    <w:bottom w:val="none" w:sz="0" w:space="0" w:color="auto"/>
                    <w:right w:val="none" w:sz="0" w:space="0" w:color="auto"/>
                  </w:divBdr>
                  <w:divsChild>
                    <w:div w:id="1035037495">
                      <w:marLeft w:val="0"/>
                      <w:marRight w:val="0"/>
                      <w:marTop w:val="0"/>
                      <w:marBottom w:val="0"/>
                      <w:divBdr>
                        <w:top w:val="none" w:sz="0" w:space="0" w:color="auto"/>
                        <w:left w:val="none" w:sz="0" w:space="0" w:color="auto"/>
                        <w:bottom w:val="none" w:sz="0" w:space="0" w:color="auto"/>
                        <w:right w:val="none" w:sz="0" w:space="0" w:color="auto"/>
                      </w:divBdr>
                      <w:divsChild>
                        <w:div w:id="15726943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119028217">
                  <w:marLeft w:val="0"/>
                  <w:marRight w:val="0"/>
                  <w:marTop w:val="0"/>
                  <w:marBottom w:val="0"/>
                  <w:divBdr>
                    <w:top w:val="none" w:sz="0" w:space="0" w:color="auto"/>
                    <w:left w:val="none" w:sz="0" w:space="0" w:color="auto"/>
                    <w:bottom w:val="none" w:sz="0" w:space="0" w:color="auto"/>
                    <w:right w:val="none" w:sz="0" w:space="0" w:color="auto"/>
                  </w:divBdr>
                  <w:divsChild>
                    <w:div w:id="18239886">
                      <w:marLeft w:val="0"/>
                      <w:marRight w:val="0"/>
                      <w:marTop w:val="0"/>
                      <w:marBottom w:val="0"/>
                      <w:divBdr>
                        <w:top w:val="none" w:sz="0" w:space="0" w:color="auto"/>
                        <w:left w:val="none" w:sz="0" w:space="0" w:color="auto"/>
                        <w:bottom w:val="none" w:sz="0" w:space="0" w:color="auto"/>
                        <w:right w:val="none" w:sz="0" w:space="0" w:color="auto"/>
                      </w:divBdr>
                      <w:divsChild>
                        <w:div w:id="2111659424">
                          <w:marLeft w:val="0"/>
                          <w:marRight w:val="180"/>
                          <w:marTop w:val="0"/>
                          <w:marBottom w:val="0"/>
                          <w:divBdr>
                            <w:top w:val="none" w:sz="0" w:space="0" w:color="auto"/>
                            <w:left w:val="none" w:sz="0" w:space="0" w:color="auto"/>
                            <w:bottom w:val="none" w:sz="0" w:space="0" w:color="auto"/>
                            <w:right w:val="none" w:sz="0" w:space="0" w:color="auto"/>
                          </w:divBdr>
                          <w:divsChild>
                            <w:div w:id="569316190">
                              <w:marLeft w:val="0"/>
                              <w:marRight w:val="0"/>
                              <w:marTop w:val="180"/>
                              <w:marBottom w:val="180"/>
                              <w:divBdr>
                                <w:top w:val="none" w:sz="0" w:space="0" w:color="auto"/>
                                <w:left w:val="none" w:sz="0" w:space="0" w:color="auto"/>
                                <w:bottom w:val="none" w:sz="0" w:space="0" w:color="auto"/>
                                <w:right w:val="none" w:sz="0" w:space="0" w:color="auto"/>
                              </w:divBdr>
                              <w:divsChild>
                                <w:div w:id="1423573310">
                                  <w:marLeft w:val="0"/>
                                  <w:marRight w:val="0"/>
                                  <w:marTop w:val="0"/>
                                  <w:marBottom w:val="0"/>
                                  <w:divBdr>
                                    <w:top w:val="none" w:sz="0" w:space="0" w:color="auto"/>
                                    <w:left w:val="none" w:sz="0" w:space="0" w:color="auto"/>
                                    <w:bottom w:val="none" w:sz="0" w:space="0" w:color="auto"/>
                                    <w:right w:val="none" w:sz="0" w:space="0" w:color="auto"/>
                                  </w:divBdr>
                                  <w:divsChild>
                                    <w:div w:id="284042435">
                                      <w:marLeft w:val="0"/>
                                      <w:marRight w:val="0"/>
                                      <w:marTop w:val="0"/>
                                      <w:marBottom w:val="0"/>
                                      <w:divBdr>
                                        <w:top w:val="none" w:sz="0" w:space="0" w:color="auto"/>
                                        <w:left w:val="none" w:sz="0" w:space="0" w:color="auto"/>
                                        <w:bottom w:val="none" w:sz="0" w:space="0" w:color="auto"/>
                                        <w:right w:val="none" w:sz="0" w:space="0" w:color="auto"/>
                                      </w:divBdr>
                                    </w:div>
                                  </w:divsChild>
                                </w:div>
                                <w:div w:id="1746759376">
                                  <w:marLeft w:val="0"/>
                                  <w:marRight w:val="0"/>
                                  <w:marTop w:val="240"/>
                                  <w:marBottom w:val="0"/>
                                  <w:divBdr>
                                    <w:top w:val="none" w:sz="0" w:space="0" w:color="auto"/>
                                    <w:left w:val="none" w:sz="0" w:space="0" w:color="auto"/>
                                    <w:bottom w:val="none" w:sz="0" w:space="0" w:color="auto"/>
                                    <w:right w:val="none" w:sz="0" w:space="0" w:color="auto"/>
                                  </w:divBdr>
                                  <w:divsChild>
                                    <w:div w:id="804589989">
                                      <w:marLeft w:val="0"/>
                                      <w:marRight w:val="0"/>
                                      <w:marTop w:val="0"/>
                                      <w:marBottom w:val="0"/>
                                      <w:divBdr>
                                        <w:top w:val="none" w:sz="0" w:space="0" w:color="auto"/>
                                        <w:left w:val="none" w:sz="0" w:space="0" w:color="auto"/>
                                        <w:bottom w:val="none" w:sz="0" w:space="0" w:color="auto"/>
                                        <w:right w:val="none" w:sz="0" w:space="0" w:color="auto"/>
                                      </w:divBdr>
                                    </w:div>
                                  </w:divsChild>
                                </w:div>
                                <w:div w:id="886064136">
                                  <w:marLeft w:val="0"/>
                                  <w:marRight w:val="0"/>
                                  <w:marTop w:val="240"/>
                                  <w:marBottom w:val="0"/>
                                  <w:divBdr>
                                    <w:top w:val="none" w:sz="0" w:space="0" w:color="auto"/>
                                    <w:left w:val="none" w:sz="0" w:space="0" w:color="auto"/>
                                    <w:bottom w:val="none" w:sz="0" w:space="0" w:color="auto"/>
                                    <w:right w:val="none" w:sz="0" w:space="0" w:color="auto"/>
                                  </w:divBdr>
                                  <w:divsChild>
                                    <w:div w:id="1476723310">
                                      <w:marLeft w:val="0"/>
                                      <w:marRight w:val="0"/>
                                      <w:marTop w:val="0"/>
                                      <w:marBottom w:val="0"/>
                                      <w:divBdr>
                                        <w:top w:val="none" w:sz="0" w:space="0" w:color="auto"/>
                                        <w:left w:val="none" w:sz="0" w:space="0" w:color="auto"/>
                                        <w:bottom w:val="none" w:sz="0" w:space="0" w:color="auto"/>
                                        <w:right w:val="none" w:sz="0" w:space="0" w:color="auto"/>
                                      </w:divBdr>
                                    </w:div>
                                  </w:divsChild>
                                </w:div>
                                <w:div w:id="1989745441">
                                  <w:marLeft w:val="0"/>
                                  <w:marRight w:val="0"/>
                                  <w:marTop w:val="240"/>
                                  <w:marBottom w:val="0"/>
                                  <w:divBdr>
                                    <w:top w:val="none" w:sz="0" w:space="0" w:color="auto"/>
                                    <w:left w:val="none" w:sz="0" w:space="0" w:color="auto"/>
                                    <w:bottom w:val="none" w:sz="0" w:space="0" w:color="auto"/>
                                    <w:right w:val="none" w:sz="0" w:space="0" w:color="auto"/>
                                  </w:divBdr>
                                  <w:divsChild>
                                    <w:div w:id="1893542247">
                                      <w:marLeft w:val="0"/>
                                      <w:marRight w:val="0"/>
                                      <w:marTop w:val="0"/>
                                      <w:marBottom w:val="0"/>
                                      <w:divBdr>
                                        <w:top w:val="none" w:sz="0" w:space="0" w:color="auto"/>
                                        <w:left w:val="none" w:sz="0" w:space="0" w:color="auto"/>
                                        <w:bottom w:val="none" w:sz="0" w:space="0" w:color="auto"/>
                                        <w:right w:val="none" w:sz="0" w:space="0" w:color="auto"/>
                                      </w:divBdr>
                                    </w:div>
                                  </w:divsChild>
                                </w:div>
                                <w:div w:id="1822772543">
                                  <w:marLeft w:val="0"/>
                                  <w:marRight w:val="0"/>
                                  <w:marTop w:val="240"/>
                                  <w:marBottom w:val="0"/>
                                  <w:divBdr>
                                    <w:top w:val="none" w:sz="0" w:space="0" w:color="auto"/>
                                    <w:left w:val="none" w:sz="0" w:space="0" w:color="auto"/>
                                    <w:bottom w:val="none" w:sz="0" w:space="0" w:color="auto"/>
                                    <w:right w:val="none" w:sz="0" w:space="0" w:color="auto"/>
                                  </w:divBdr>
                                  <w:divsChild>
                                    <w:div w:id="1099832708">
                                      <w:marLeft w:val="0"/>
                                      <w:marRight w:val="0"/>
                                      <w:marTop w:val="0"/>
                                      <w:marBottom w:val="0"/>
                                      <w:divBdr>
                                        <w:top w:val="none" w:sz="0" w:space="0" w:color="auto"/>
                                        <w:left w:val="none" w:sz="0" w:space="0" w:color="auto"/>
                                        <w:bottom w:val="none" w:sz="0" w:space="0" w:color="auto"/>
                                        <w:right w:val="none" w:sz="0" w:space="0" w:color="auto"/>
                                      </w:divBdr>
                                    </w:div>
                                  </w:divsChild>
                                </w:div>
                                <w:div w:id="1299795407">
                                  <w:marLeft w:val="0"/>
                                  <w:marRight w:val="0"/>
                                  <w:marTop w:val="240"/>
                                  <w:marBottom w:val="0"/>
                                  <w:divBdr>
                                    <w:top w:val="none" w:sz="0" w:space="0" w:color="auto"/>
                                    <w:left w:val="none" w:sz="0" w:space="0" w:color="auto"/>
                                    <w:bottom w:val="none" w:sz="0" w:space="0" w:color="auto"/>
                                    <w:right w:val="none" w:sz="0" w:space="0" w:color="auto"/>
                                  </w:divBdr>
                                  <w:divsChild>
                                    <w:div w:id="1399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6646">
                          <w:marLeft w:val="0"/>
                          <w:marRight w:val="0"/>
                          <w:marTop w:val="0"/>
                          <w:marBottom w:val="0"/>
                          <w:divBdr>
                            <w:top w:val="single" w:sz="6" w:space="0" w:color="000000"/>
                            <w:left w:val="single" w:sz="6" w:space="0" w:color="000000"/>
                            <w:bottom w:val="single" w:sz="6" w:space="0" w:color="000000"/>
                            <w:right w:val="single" w:sz="6" w:space="0" w:color="000000"/>
                          </w:divBdr>
                          <w:divsChild>
                            <w:div w:id="22362049">
                              <w:marLeft w:val="0"/>
                              <w:marRight w:val="60"/>
                              <w:marTop w:val="0"/>
                              <w:marBottom w:val="0"/>
                              <w:divBdr>
                                <w:top w:val="single" w:sz="2" w:space="0" w:color="444444"/>
                                <w:left w:val="single" w:sz="2" w:space="7" w:color="444444"/>
                                <w:bottom w:val="single" w:sz="6" w:space="0" w:color="444444"/>
                                <w:right w:val="single" w:sz="6" w:space="7" w:color="444444"/>
                              </w:divBdr>
                              <w:divsChild>
                                <w:div w:id="1487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3676">
          <w:marLeft w:val="0"/>
          <w:marRight w:val="0"/>
          <w:marTop w:val="0"/>
          <w:marBottom w:val="0"/>
          <w:divBdr>
            <w:top w:val="none" w:sz="0" w:space="0" w:color="auto"/>
            <w:left w:val="none" w:sz="0" w:space="0" w:color="auto"/>
            <w:bottom w:val="none" w:sz="0" w:space="0" w:color="auto"/>
            <w:right w:val="none" w:sz="0" w:space="0" w:color="auto"/>
          </w:divBdr>
        </w:div>
      </w:divsChild>
    </w:div>
    <w:div w:id="1862281396">
      <w:bodyDiv w:val="1"/>
      <w:marLeft w:val="0"/>
      <w:marRight w:val="0"/>
      <w:marTop w:val="0"/>
      <w:marBottom w:val="0"/>
      <w:divBdr>
        <w:top w:val="none" w:sz="0" w:space="0" w:color="auto"/>
        <w:left w:val="none" w:sz="0" w:space="0" w:color="auto"/>
        <w:bottom w:val="none" w:sz="0" w:space="0" w:color="auto"/>
        <w:right w:val="none" w:sz="0" w:space="0" w:color="auto"/>
      </w:divBdr>
      <w:divsChild>
        <w:div w:id="2143112207">
          <w:marLeft w:val="0"/>
          <w:marRight w:val="0"/>
          <w:marTop w:val="0"/>
          <w:marBottom w:val="0"/>
          <w:divBdr>
            <w:top w:val="none" w:sz="0" w:space="0" w:color="auto"/>
            <w:left w:val="none" w:sz="0" w:space="0" w:color="auto"/>
            <w:bottom w:val="none" w:sz="0" w:space="0" w:color="auto"/>
            <w:right w:val="none" w:sz="0" w:space="0" w:color="auto"/>
          </w:divBdr>
          <w:divsChild>
            <w:div w:id="1247032404">
              <w:marLeft w:val="0"/>
              <w:marRight w:val="0"/>
              <w:marTop w:val="0"/>
              <w:marBottom w:val="0"/>
              <w:divBdr>
                <w:top w:val="none" w:sz="0" w:space="0" w:color="auto"/>
                <w:left w:val="none" w:sz="0" w:space="0" w:color="auto"/>
                <w:bottom w:val="none" w:sz="0" w:space="0" w:color="auto"/>
                <w:right w:val="none" w:sz="0" w:space="0" w:color="auto"/>
              </w:divBdr>
              <w:divsChild>
                <w:div w:id="124083372">
                  <w:marLeft w:val="0"/>
                  <w:marRight w:val="0"/>
                  <w:marTop w:val="0"/>
                  <w:marBottom w:val="375"/>
                  <w:divBdr>
                    <w:top w:val="none" w:sz="0" w:space="0" w:color="auto"/>
                    <w:left w:val="none" w:sz="0" w:space="0" w:color="auto"/>
                    <w:bottom w:val="none" w:sz="0" w:space="0" w:color="auto"/>
                    <w:right w:val="none" w:sz="0" w:space="0" w:color="auto"/>
                  </w:divBdr>
                  <w:divsChild>
                    <w:div w:id="1149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qn.gov.sa/editions/46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Microsoft Office User</cp:lastModifiedBy>
  <cp:revision>15</cp:revision>
  <dcterms:created xsi:type="dcterms:W3CDTF">2017-09-20T17:57:00Z</dcterms:created>
  <dcterms:modified xsi:type="dcterms:W3CDTF">2019-09-16T17:33:00Z</dcterms:modified>
</cp:coreProperties>
</file>