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64" w:rsidRDefault="00821664" w:rsidP="00821664">
      <w:pPr>
        <w:autoSpaceDE w:val="0"/>
        <w:autoSpaceDN w:val="0"/>
        <w:adjustRightInd w:val="0"/>
        <w:ind w:firstLine="418"/>
        <w:jc w:val="center"/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((</w:t>
      </w:r>
      <w:proofErr w:type="gramStart"/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المحاضرة</w:t>
      </w:r>
      <w:proofErr w:type="gramEnd"/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الأولى))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>الباب</w:t>
      </w:r>
      <w:proofErr w:type="gramEnd"/>
      <w:r w:rsidRPr="00905FDD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 xml:space="preserve"> الثاني الحكم الشرعي، والتكليف به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ويشتمل على الفصول التالية: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الفصل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الأول: في حقيقة الحكم الشرعي وما يتعلق بها.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الفصل الثاني: في الحكم التكليفي وأقسامه.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الفصل الثالث: في التكليف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وشروطه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الفصل الرابع: في الحكم الوضعي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وأنواعه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>الفصل الأول في حقيقة الحكم الشرعي وما يتعلق بها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وفيه مباحث: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المبحث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الأول: في تعريف الحكم الشرعي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المبحث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الثاني: في إطلاق الحكم الشرعي بين الأصوليين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والفقهاء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المبحث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الثالث: هل ينقسم الحكم الشرعي إلى قسمين: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" تكليفي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ووضعي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"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>المبحث الأول في تعريف الحكم الشرعي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أولاً: الحكم لغة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هو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: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القضاء والفصل لمنع العدوان، ومنه قوله تعالى: (لتحكم بين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الناس بما أراك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الله) ،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وقوله: (فاحكم بين الناس بالحق) 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يقال: " حكمت عليه بكذا " إذا منعته من خلافه، فلم يقدر على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الخروج من ذلك، ومنه اشتقاق الحكمة؛ لأنها تمنع صاحبها من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أخلاق الأراذل.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وهذا موافق للحكم الشرعي؛ فإنه إذا قيل: " حكم اللَّه في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المسألة الوجوب "، فإن المراد من ذلك: أنه سبحانه قضى فيها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بالوجوب، ومنع المكلف من مخالفته.</w:t>
      </w:r>
    </w:p>
    <w:p w:rsidR="00821664" w:rsidRDefault="00821664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ثانياً: الحكم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اصطلاحاً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هو: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lastRenderedPageBreak/>
        <w:t>خطاب اللَّه تعالى المتعلق بفعل المكلف بالاقتضاء، أو التخيير أوالوضع.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شرح التعريف: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قولنا: "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خطاب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" الخطاب هو: توجيه اللفظ المفيد إلى الغير،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بحيث يسمعه ويفهمه.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وقيل: إن الخطاب هو: الكلام المقصود منه إفهام من هو متهيء للفهم.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وهو جنس في التعريف يشمل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كل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خطاب، سواء كان المخاطِب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الله أو غيره.</w:t>
      </w:r>
    </w:p>
    <w:p w:rsid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قولنا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: " خطاب اللَّه تعالى " إضافة الخطاب إلى اللَّه، أخرج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خطاب غيره من الإنس والجن والملائكة، فإن خطاباتهم لا تسمى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حكماً؛ حيث لا حكم إلا للشارع.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والمراد بخطاب اللَّه تعالى: كلام اللَّه اللفظي، وليس الكلام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النفسي؛ لأن الكلام اللفظي هو المبحوث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عنه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في الأصول إجمالاً،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وفي الفقه تفصيلاً.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</w:p>
    <w:p w:rsid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وجميع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الأحكام من اللَّه تعالى، سواء كانت ثابتة بالقرآن، أو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السُّنَّة، أو الإجماع، أو القياس، أو أي دليل ثبت شرعاً، فإن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كل هذه المصادر راجعة - في الحقيقة - إلى اللَّه تعالى.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قولنا: " المتعلِّق " أي: المرتبط، والمراد به: الذي من شأنه أن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يتعلق، من باب تسمية الشيء بما يؤول إليه.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والمقصود: أنه يشترط في خطاب اللَّه تعالى أن يكون مرتبطاً بفعل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من أفعال المكلف على وجه يبين صفة الفعل من كونه مطلوباً فعله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كالصلاة، والزكاة، ووجوب الغرامات على المتلف، ونحو ذلك،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أو كونه مطلوباً تركه كالزنا والسرقة ونحو ذلك.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قولنا: " بفعل " الفعل لغة: ما يقابل القول والاعتقاد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والنية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ولكنه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في العرف يطلق على كل ما صدر عن المكلف، وتتعلق به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قدرته من قول، أو فعل، أو نية، وهو المراد بفعل المكلف هنا.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فيكون المقصود بالفعل هنا هو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جنس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الفعل، سواء كان واحداً،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أو متعدداً، ويشمل القلوب والجوارح، سواء منها العبادات، أو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المعاملات، أو الأخلاق، فإنها جميعاً تتعلق بها الأحكام الشرعية.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فالفعل هنا عام لأفعال الجوارح كوجوب الصلاة والحج والصوم،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ولأفعال اللسان كتحريم النميمة والغيبة، ولأفعال القلوب كوج</w:t>
      </w:r>
      <w:bookmarkStart w:id="0" w:name="_GoBack"/>
      <w:bookmarkEnd w:id="0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وب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النية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والقصد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lastRenderedPageBreak/>
        <w:t>وقولنا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: " بفعل المكلف ": أخرج الأحكام العقائدية، لأن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المعرف إنما هو الحكم الشرعي العملي، وليس المعرف مطلق الحكم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الشرعي.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والمراد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بالمكلف هو: البالغ العاقل، غير الملجأ، الذي يفهم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الخطاب، ولم يحل دون تكليفه أي حائل.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وعبَّرنا بالمكلف، ولم نقل: " بأفعال المكلفين " - كما ذكر ذلك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بعض الأصوليين - وذلك ليشمل الأحكام المتعلقة بفعل مكلف واحد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خاصة به مثل الأحكام الخاصة بالنبي - صلى الله عليه وسلم -، كتزويجه بأكثر من أربع،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ومثل الحكم الخاص بخزيمة بن ثابت الأنصاري، حيث بيَّن النبي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- صلى الله عليه وسلم - أن شهادته تكفي عن شهادة رجلين، ومثل الحكم الخاص بأبي بردة، حيث بيَّن النبي - صلى الله عليه وسلم - أن العناق - وهي الأنثى من ولد المعز قبل استكمالها الحول - تجزئ في الأضحية عنه ولا تجزئ عن غيره.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وقولنا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: " بفعل المكلف ": أخرج الخطابات الواردة من اللَّه التي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لا تتعلق بفعل المكلف، وهي: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1 - الخطاب المتعلق بذاته سبحانه، كقوله تعالى: (شهد الله أنه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لا إله إلا هو) 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2 - الخطاب المتعلق بصفته سبحانه، كقوله: (الله لا إله إلا هو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الحي القيوم) 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3 - الخطاب المتعلق بفعله سبحانه، كقوله: (الله خالق كل شيء) 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4 - الخطاب المتعلق بالجمادات، كقوله: (ويوم نسير الجبال) 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5 - الخطاب المتعلق بالحيوانات، كقوله: (يا جبال أوبي معه والطير) 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6 - الخطاب المتعلق بذات المكلفين، كقوله: (ولقد خلقناكم ثم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صورناكم) .</w:t>
      </w:r>
      <w:proofErr w:type="gramEnd"/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فهذه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خطابات، ولكنها لا تتعلَّق بفعل المكلَّف.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قولنا: "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بالاقتضاء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": الجار والمجرور هنا متعلقان بقوله: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"المتعلِّق ".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والاقتضاء هو: الطلب، والطلب قسمان: طلب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فعل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، وطلب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ترك.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وكل واحد منهما ينقسم إلى قسمين: "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جازم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"، و " غير جازم ".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فإن كان طلب الفعل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طلباً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جازماً فهو: الإيجاب.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وإن كان طلب الفعل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طلباً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غير جازم فهو: الندب.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lastRenderedPageBreak/>
        <w:t xml:space="preserve">وإن كان طلب الترك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طلباً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جازماً فهو: التحريم.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وإن كان طلب الترك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طلباً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غير جازم فهو: الكراهية.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قولنا: " أو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التخيير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" معناه: استواء الطرفين، أي: لا يوجد</w:t>
      </w:r>
    </w:p>
    <w:p w:rsidR="007E197E" w:rsidRPr="00905FDD" w:rsidRDefault="00905FDD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فيه طلب فعل، ولاطلب ترك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="007E197E"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فعبارة: " بالاقتضاء أو التخيير " شملت الأحكام التكليفية الخمسة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="007E197E"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- الواجب، والمند وب، والحرام، والكرا هة، والمباح -.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فبان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أنه يشترط في خطاب اللَّه المتعلق بالمكلف أن يكون متضمناً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لطلب فعل أو ترك، أو فيه تخيير.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أما إذا لم يوجد فيه ذلك فليس بحكم شرعي مثل قوله تعالى: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(والله خلقكم وما تعملون) ، وقوله: (وهم من بعد غلبهم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سيغلبون) ، وذلك لأنه لم يفهم منه طلب فعل، ولا طلب ترك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من المكلف، ولم يفهم منه - أيضا - تخيير بين فعل وترك، فهو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إعلام وإخبار - فقط -.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قولنا -: " أو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الوضع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" الوضع هو: الجعل.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وقد وردت لفظة: " أو " للتنويع والتقسيم، والمراد: أن الحكم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الشرعي ينقسم إلى قسمين: " حكم تكليفي "، و " حكم وضعي ".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أي: أنه أتى بهذه الكلمة - وهي: " أو الوضع " -، لإدخال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أقسام خطاب الوضع من السببية، والشرطية، والمانعية، والصحة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والفساد، وذلك لأنها أحكام شرعية لم تثبت إلا عن طريق الشرع،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وليس فيها طلب ولا تخيير.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وعلى هذا: خطاب الشرع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إما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أن يكون متعلقا بالاقتضاء أو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التخيير، أو لا يكون.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فإن كان متعلقاً بأحدهما: فهو الحكم التكليفي.</w:t>
      </w:r>
      <w:r w:rsidR="00905FDD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proofErr w:type="gramStart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>وإن</w:t>
      </w:r>
      <w:proofErr w:type="gramEnd"/>
      <w:r w:rsidRPr="00905FDD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لم يتعلق بواحد منهما فهو الحكم الوضعي.</w:t>
      </w:r>
    </w:p>
    <w:p w:rsidR="007E197E" w:rsidRPr="00905FDD" w:rsidRDefault="007E197E" w:rsidP="00905FDD">
      <w:pPr>
        <w:autoSpaceDE w:val="0"/>
        <w:autoSpaceDN w:val="0"/>
        <w:adjustRightInd w:val="0"/>
        <w:ind w:firstLine="418"/>
        <w:jc w:val="mediumKashida"/>
        <w:rPr>
          <w:rFonts w:ascii="Traditional Arabic" w:eastAsiaTheme="minorHAnsi" w:hAnsi="Traditional Arabic" w:cs="Traditional Arabic"/>
          <w:sz w:val="36"/>
          <w:szCs w:val="36"/>
          <w:rtl/>
        </w:rPr>
      </w:pPr>
    </w:p>
    <w:sectPr w:rsidR="007E197E" w:rsidRPr="00905FDD" w:rsidSect="00E3131E">
      <w:headerReference w:type="default" r:id="rId7"/>
      <w:footerReference w:type="default" r:id="rId8"/>
      <w:pgSz w:w="12240" w:h="15840"/>
      <w:pgMar w:top="1440" w:right="1800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1" w:rsidRDefault="00035D51" w:rsidP="00F616E4">
      <w:r>
        <w:separator/>
      </w:r>
    </w:p>
  </w:endnote>
  <w:endnote w:type="continuationSeparator" w:id="0">
    <w:p w:rsidR="00035D51" w:rsidRDefault="00035D51" w:rsidP="00F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58986951"/>
      <w:docPartObj>
        <w:docPartGallery w:val="Page Numbers (Bottom of Page)"/>
        <w:docPartUnique/>
      </w:docPartObj>
    </w:sdtPr>
    <w:sdtContent>
      <w:p w:rsidR="00E3131E" w:rsidRDefault="00E3131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131E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E3131E" w:rsidRDefault="00E313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1" w:rsidRDefault="00035D51" w:rsidP="00F616E4">
      <w:r>
        <w:separator/>
      </w:r>
    </w:p>
  </w:footnote>
  <w:footnote w:type="continuationSeparator" w:id="0">
    <w:p w:rsidR="00035D51" w:rsidRDefault="00035D51" w:rsidP="00F6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B2" w:rsidRPr="00821664" w:rsidRDefault="00A455B2">
    <w:pPr>
      <w:pStyle w:val="a6"/>
      <w:rPr>
        <w:rFonts w:cs="PT Bold Heading"/>
        <w:sz w:val="18"/>
        <w:szCs w:val="18"/>
      </w:rPr>
    </w:pPr>
    <w:r w:rsidRPr="00821664">
      <w:rPr>
        <w:rFonts w:cs="PT Bold Heading" w:hint="cs"/>
        <w:sz w:val="18"/>
        <w:szCs w:val="18"/>
        <w:rtl/>
      </w:rPr>
      <w:t xml:space="preserve">مقتطفات من كتاب الشيخ عبدالكريم النملة </w:t>
    </w:r>
    <w:r w:rsidRPr="00821664">
      <w:rPr>
        <w:rFonts w:hint="cs"/>
        <w:sz w:val="18"/>
        <w:szCs w:val="18"/>
        <w:rtl/>
      </w:rPr>
      <w:t>–</w:t>
    </w:r>
    <w:r w:rsidRPr="00821664">
      <w:rPr>
        <w:rFonts w:cs="PT Bold Heading" w:hint="cs"/>
        <w:sz w:val="18"/>
        <w:szCs w:val="18"/>
        <w:rtl/>
      </w:rPr>
      <w:t xml:space="preserve"> المهذب في علم أصول الفقه المقارن </w:t>
    </w:r>
    <w:r w:rsidRPr="00821664">
      <w:rPr>
        <w:rFonts w:hint="cs"/>
        <w:sz w:val="18"/>
        <w:szCs w:val="18"/>
        <w:rtl/>
      </w:rPr>
      <w:t>–</w:t>
    </w:r>
    <w:r w:rsidRPr="00821664">
      <w:rPr>
        <w:rFonts w:cs="PT Bold Heading" w:hint="cs"/>
        <w:sz w:val="18"/>
        <w:szCs w:val="18"/>
        <w:rtl/>
      </w:rPr>
      <w:t xml:space="preserve"> تحرير مسائله ودراستها دراسة نظرية تطبيقية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6"/>
    <w:rsid w:val="00025036"/>
    <w:rsid w:val="00035D51"/>
    <w:rsid w:val="00184A79"/>
    <w:rsid w:val="00350DD1"/>
    <w:rsid w:val="004352D6"/>
    <w:rsid w:val="00495CC4"/>
    <w:rsid w:val="006F07AA"/>
    <w:rsid w:val="007A71F6"/>
    <w:rsid w:val="007E197E"/>
    <w:rsid w:val="00821664"/>
    <w:rsid w:val="00905FDD"/>
    <w:rsid w:val="00A455B2"/>
    <w:rsid w:val="00A75C7B"/>
    <w:rsid w:val="00A83CC3"/>
    <w:rsid w:val="00E3131E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F616E4"/>
    <w:pPr>
      <w:ind w:left="454" w:hanging="454"/>
    </w:pPr>
    <w:rPr>
      <w:sz w:val="28"/>
      <w:szCs w:val="28"/>
      <w:lang w:val="x-none" w:eastAsia="x-none"/>
    </w:rPr>
  </w:style>
  <w:style w:type="character" w:customStyle="1" w:styleId="Char">
    <w:name w:val="نص حاشية سفلية Char"/>
    <w:basedOn w:val="a0"/>
    <w:link w:val="a3"/>
    <w:rsid w:val="00F616E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footnote reference"/>
    <w:aliases w:val="Footnote Reference,4_G,16 Point,Superscript 6 Point,Char Char,Carattere Char1,Carattere Char Char Carattere Carattere Char Char,ftref,BVI fnr Car Char Char Char Char Char Char Char Char Char Char,Ref,de nota al pie,BVI fnr,4_GA"/>
    <w:qFormat/>
    <w:rsid w:val="00F616E4"/>
    <w:rPr>
      <w:vertAlign w:val="superscript"/>
    </w:rPr>
  </w:style>
  <w:style w:type="paragraph" w:customStyle="1" w:styleId="a5">
    <w:name w:val="مصعب"/>
    <w:basedOn w:val="a"/>
    <w:rsid w:val="00F616E4"/>
    <w:pPr>
      <w:ind w:firstLine="720"/>
    </w:pPr>
    <w:rPr>
      <w:rFonts w:cs="Traditional Arabic"/>
      <w:noProof/>
      <w:sz w:val="28"/>
      <w:szCs w:val="40"/>
      <w:lang w:eastAsia="ar-SA"/>
    </w:rPr>
  </w:style>
  <w:style w:type="character" w:customStyle="1" w:styleId="apple-converted-space">
    <w:name w:val="apple-converted-space"/>
    <w:rsid w:val="00F616E4"/>
  </w:style>
  <w:style w:type="paragraph" w:styleId="a6">
    <w:name w:val="header"/>
    <w:basedOn w:val="a"/>
    <w:link w:val="Char0"/>
    <w:uiPriority w:val="99"/>
    <w:unhideWhenUsed/>
    <w:rsid w:val="00A455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455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A455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A455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F616E4"/>
    <w:pPr>
      <w:ind w:left="454" w:hanging="454"/>
    </w:pPr>
    <w:rPr>
      <w:sz w:val="28"/>
      <w:szCs w:val="28"/>
      <w:lang w:val="x-none" w:eastAsia="x-none"/>
    </w:rPr>
  </w:style>
  <w:style w:type="character" w:customStyle="1" w:styleId="Char">
    <w:name w:val="نص حاشية سفلية Char"/>
    <w:basedOn w:val="a0"/>
    <w:link w:val="a3"/>
    <w:rsid w:val="00F616E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footnote reference"/>
    <w:aliases w:val="Footnote Reference,4_G,16 Point,Superscript 6 Point,Char Char,Carattere Char1,Carattere Char Char Carattere Carattere Char Char,ftref,BVI fnr Car Char Char Char Char Char Char Char Char Char Char,Ref,de nota al pie,BVI fnr,4_GA"/>
    <w:qFormat/>
    <w:rsid w:val="00F616E4"/>
    <w:rPr>
      <w:vertAlign w:val="superscript"/>
    </w:rPr>
  </w:style>
  <w:style w:type="paragraph" w:customStyle="1" w:styleId="a5">
    <w:name w:val="مصعب"/>
    <w:basedOn w:val="a"/>
    <w:rsid w:val="00F616E4"/>
    <w:pPr>
      <w:ind w:firstLine="720"/>
    </w:pPr>
    <w:rPr>
      <w:rFonts w:cs="Traditional Arabic"/>
      <w:noProof/>
      <w:sz w:val="28"/>
      <w:szCs w:val="40"/>
      <w:lang w:eastAsia="ar-SA"/>
    </w:rPr>
  </w:style>
  <w:style w:type="character" w:customStyle="1" w:styleId="apple-converted-space">
    <w:name w:val="apple-converted-space"/>
    <w:rsid w:val="00F616E4"/>
  </w:style>
  <w:style w:type="paragraph" w:styleId="a6">
    <w:name w:val="header"/>
    <w:basedOn w:val="a"/>
    <w:link w:val="Char0"/>
    <w:uiPriority w:val="99"/>
    <w:unhideWhenUsed/>
    <w:rsid w:val="00A455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455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A455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A455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بنت محمد العيسى</dc:creator>
  <cp:keywords/>
  <dc:description/>
  <cp:lastModifiedBy>وفاء بنت محمد العيسى</cp:lastModifiedBy>
  <cp:revision>8</cp:revision>
  <cp:lastPrinted>2016-10-10T11:36:00Z</cp:lastPrinted>
  <dcterms:created xsi:type="dcterms:W3CDTF">2016-10-01T10:31:00Z</dcterms:created>
  <dcterms:modified xsi:type="dcterms:W3CDTF">2016-10-10T11:41:00Z</dcterms:modified>
</cp:coreProperties>
</file>