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10" w:rsidRDefault="00592F10">
      <w:pPr>
        <w:rPr>
          <w:rFonts w:hint="cs"/>
          <w:rtl/>
          <w:lang w:bidi="ar-AE"/>
        </w:rPr>
      </w:pPr>
    </w:p>
    <w:p w:rsidR="00C848A6" w:rsidRDefault="00C848A6">
      <w:pPr>
        <w:rPr>
          <w:rFonts w:hint="cs"/>
          <w:rtl/>
          <w:lang w:bidi="ar-AE"/>
        </w:rPr>
      </w:pPr>
    </w:p>
    <w:p w:rsidR="00C848A6" w:rsidRDefault="00C848A6" w:rsidP="00C848A6">
      <w:pPr>
        <w:rPr>
          <w:rFonts w:asciiTheme="majorBidi" w:hAnsiTheme="majorBidi" w:cstheme="majorBidi" w:hint="cs"/>
          <w:color w:val="943634" w:themeColor="accent2" w:themeShade="BF"/>
          <w:sz w:val="52"/>
          <w:szCs w:val="52"/>
          <w:rtl/>
          <w:lang w:bidi="ar-AE"/>
        </w:rPr>
      </w:pPr>
      <w:r>
        <w:rPr>
          <w:rFonts w:asciiTheme="majorBidi" w:hAnsiTheme="majorBidi" w:cstheme="majorBidi" w:hint="cs"/>
          <w:color w:val="943634" w:themeColor="accent2" w:themeShade="BF"/>
          <w:sz w:val="52"/>
          <w:szCs w:val="52"/>
          <w:rtl/>
          <w:lang w:bidi="ar-AE"/>
        </w:rPr>
        <w:t>نظام الدفاتر التجارية</w:t>
      </w:r>
    </w:p>
    <w:p w:rsidR="00C848A6" w:rsidRPr="00C848A6" w:rsidRDefault="00C848A6" w:rsidP="00C848A6">
      <w:pPr>
        <w:rPr>
          <w:rFonts w:asciiTheme="majorBidi" w:hAnsiTheme="majorBidi" w:cstheme="majorBidi"/>
          <w:color w:val="943634" w:themeColor="accent2" w:themeShade="BF"/>
          <w:sz w:val="36"/>
          <w:szCs w:val="36"/>
          <w:lang w:bidi="ar-AE"/>
        </w:rPr>
      </w:pPr>
      <w:r w:rsidRPr="00C848A6">
        <w:rPr>
          <w:rFonts w:asciiTheme="majorBidi" w:hAnsiTheme="majorBidi" w:cstheme="majorBidi"/>
          <w:color w:val="943634" w:themeColor="accent2" w:themeShade="BF"/>
          <w:sz w:val="36"/>
          <w:szCs w:val="36"/>
          <w:rtl/>
        </w:rPr>
        <w:t xml:space="preserve">نظام الدفاتر التجاريّة </w:t>
      </w:r>
    </w:p>
    <w:p w:rsidR="00C848A6" w:rsidRPr="00C848A6" w:rsidRDefault="00C848A6" w:rsidP="00C848A6">
      <w:pPr>
        <w:rPr>
          <w:rFonts w:asciiTheme="majorBidi" w:hAnsiTheme="majorBidi" w:cstheme="majorBidi"/>
          <w:vanish/>
          <w:color w:val="943634" w:themeColor="accent2" w:themeShade="BF"/>
          <w:sz w:val="36"/>
          <w:szCs w:val="36"/>
          <w:rtl/>
        </w:rPr>
      </w:pPr>
      <w:r w:rsidRPr="00C848A6">
        <w:rPr>
          <w:rFonts w:asciiTheme="majorBidi" w:hAnsiTheme="majorBidi" w:cstheme="majorBidi"/>
          <w:vanish/>
          <w:color w:val="943634" w:themeColor="accent2" w:themeShade="BF"/>
          <w:sz w:val="36"/>
          <w:szCs w:val="36"/>
          <w:rtl/>
        </w:rPr>
        <w:t>صورة الصفحة</w:t>
      </w:r>
    </w:p>
    <w:p w:rsidR="00C848A6" w:rsidRPr="00C848A6" w:rsidRDefault="00C848A6" w:rsidP="00C848A6">
      <w:pPr>
        <w:rPr>
          <w:rFonts w:asciiTheme="majorBidi" w:hAnsiTheme="majorBidi" w:cstheme="majorBidi"/>
          <w:vanish/>
          <w:color w:val="943634" w:themeColor="accent2" w:themeShade="BF"/>
          <w:sz w:val="36"/>
          <w:szCs w:val="36"/>
          <w:rtl/>
        </w:rPr>
      </w:pPr>
      <w:r w:rsidRPr="00C848A6">
        <w:rPr>
          <w:rFonts w:asciiTheme="majorBidi" w:hAnsiTheme="majorBidi" w:cstheme="majorBidi"/>
          <w:vanish/>
          <w:color w:val="943634" w:themeColor="accent2" w:themeShade="BF"/>
          <w:sz w:val="36"/>
          <w:szCs w:val="36"/>
          <w:rtl/>
        </w:rPr>
        <w:t>محتوى الصفحة</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t>مادّة (1):</w:t>
      </w:r>
      <w:r w:rsidRPr="00C848A6">
        <w:rPr>
          <w:rFonts w:asciiTheme="majorBidi" w:hAnsiTheme="majorBidi" w:cstheme="majorBidi"/>
          <w:color w:val="943634" w:themeColor="accent2" w:themeShade="BF"/>
          <w:sz w:val="36"/>
          <w:szCs w:val="36"/>
          <w:rtl/>
        </w:rPr>
        <w:t xml:space="preserve"> يجب على كل تاجر أن يمسك الدفاتر التجاريّة التي تستلزمها طبيعة تجارته وأهميّتها بطريقةٍ تكفل بيان مركزه المالي بدقّة، وبيان ما له من حقوق وما عليه من التزامات متعلّقة بتجارته، ويجب أن تكون هذه الدفاتر مُنتظمّة وباللغة العربيّة، ويجب أن يمسك على الأقل الدفاتر الآتيّة: </w:t>
      </w:r>
    </w:p>
    <w:p w:rsidR="00C848A6" w:rsidRPr="00C848A6" w:rsidRDefault="00C848A6" w:rsidP="00C848A6">
      <w:pPr>
        <w:numPr>
          <w:ilvl w:val="0"/>
          <w:numId w:val="1"/>
        </w:num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xml:space="preserve"> دفتر اليوميّة الأصلي. </w:t>
      </w:r>
    </w:p>
    <w:p w:rsidR="00C848A6" w:rsidRPr="00C848A6" w:rsidRDefault="00C848A6" w:rsidP="00C848A6">
      <w:pPr>
        <w:numPr>
          <w:ilvl w:val="0"/>
          <w:numId w:val="1"/>
        </w:num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xml:space="preserve"> دفتر الجرد. </w:t>
      </w:r>
    </w:p>
    <w:p w:rsidR="00C848A6" w:rsidRPr="00C848A6" w:rsidRDefault="00C848A6" w:rsidP="00C848A6">
      <w:pPr>
        <w:numPr>
          <w:ilvl w:val="0"/>
          <w:numId w:val="1"/>
        </w:num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xml:space="preserve"> الدفتر الأستاذ العام.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xml:space="preserve">ويُعفى من مسك هذه الدفاتر التاجر الذي لا يزيد رأس ماله عن مائة ألف ريال.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t>مادّة (2):</w:t>
      </w:r>
      <w:r w:rsidRPr="00C848A6">
        <w:rPr>
          <w:rFonts w:asciiTheme="majorBidi" w:hAnsiTheme="majorBidi" w:cstheme="majorBidi"/>
          <w:color w:val="943634" w:themeColor="accent2" w:themeShade="BF"/>
          <w:sz w:val="36"/>
          <w:szCs w:val="36"/>
          <w:rtl/>
        </w:rPr>
        <w:t xml:space="preserve"> يجوز أن تُدوّن البيانات الخاصّة بالدفاتر التجاريّة عن طريق الحاسب الآلي، وذلك بالنسبة للمؤسّسات والشركّات التي تستخدم الحاسب الآلي في حساباتها، وتحدّد اللائحة التنفيذيّة الإجّراءات والقواعد التي تكفل صحّة وسلامّة البيانات التي يُثبتها الحاسب الآلي.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t>مادّة (3):</w:t>
      </w:r>
      <w:r w:rsidRPr="00C848A6">
        <w:rPr>
          <w:rFonts w:asciiTheme="majorBidi" w:hAnsiTheme="majorBidi" w:cstheme="majorBidi"/>
          <w:color w:val="943634" w:themeColor="accent2" w:themeShade="BF"/>
          <w:sz w:val="36"/>
          <w:szCs w:val="36"/>
          <w:rtl/>
        </w:rPr>
        <w:t xml:space="preserve"> تُقيّد في دفتر اليوميّة الأصلي جميع العمليّات الماليّة التي يقوم بها التاجر وكذلك مسحوباته الشخصيّة، ويتم هذا القيد يوماً بيوم بالتفصيل باستثناء المسحوبات الشخصيّة التي يُمكن أن تُقيّد إجمالاً شهراً بشهر، ويجوز للتاجر أن يستعمل دفاتر يوميّة مُساعدة لإثبات تفاصيل الأنواع المُختلفَّة من العمليّات الماليّة، ويكتفي في هذه الحالة بتقييد إجمالي لهذه العمليّات في دفتر اليوميّة الأصلي في فترات مُنتظمّة من واقع هذه الدفاتر، فإذا لم يتّبع هذا الإجّراء اعتُبر كُلٌ دفترٍ مُساعدٍ دفتراً أصليّاً.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lastRenderedPageBreak/>
        <w:t>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t>مادّة (4):</w:t>
      </w:r>
      <w:r w:rsidRPr="00C848A6">
        <w:rPr>
          <w:rFonts w:asciiTheme="majorBidi" w:hAnsiTheme="majorBidi" w:cstheme="majorBidi"/>
          <w:color w:val="943634" w:themeColor="accent2" w:themeShade="BF"/>
          <w:sz w:val="36"/>
          <w:szCs w:val="36"/>
          <w:rtl/>
        </w:rPr>
        <w:t xml:space="preserve"> تُقيّد في دفتر الجرد تفاصيل البضاعة الموجودة لدى التاجر في آخر سنته الماليّة، أو بيان إجمالي عنها إذا كانت تفاصيلها واردة بدفاتر أو قوائم مُستقلّة، وفي هذه الحالة تُعتبر هذه الدفاتر، أو القوائم جُزءً مُتمّماً للدفتر المذكور، كما تُقيّد بدفتر الجرد صورةٌ من قائمة المركز المالي للتاجر في كل سنة إذا لم تُقيّد في دفتر آخر.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t xml:space="preserve">مادّة (5): </w:t>
      </w:r>
      <w:r w:rsidRPr="00C848A6">
        <w:rPr>
          <w:rFonts w:asciiTheme="majorBidi" w:hAnsiTheme="majorBidi" w:cstheme="majorBidi"/>
          <w:color w:val="943634" w:themeColor="accent2" w:themeShade="BF"/>
          <w:sz w:val="36"/>
          <w:szCs w:val="36"/>
          <w:rtl/>
        </w:rPr>
        <w:t xml:space="preserve">تُرحّل إلى دفتر الأستاذ العام العمليّات الماليّة ذات الطبيعة الواحدة من دفتر اليوميّة بحيث يُمكن استخلاص نتيجة كل حساب على حدة، بسهولةٍ في أي وقت.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t>مادّة (6):</w:t>
      </w:r>
      <w:r w:rsidRPr="00C848A6">
        <w:rPr>
          <w:rFonts w:asciiTheme="majorBidi" w:hAnsiTheme="majorBidi" w:cstheme="majorBidi"/>
          <w:color w:val="943634" w:themeColor="accent2" w:themeShade="BF"/>
          <w:sz w:val="36"/>
          <w:szCs w:val="36"/>
          <w:rtl/>
        </w:rPr>
        <w:t xml:space="preserve"> على التاجر أن يحتفظ بصورةٍ طبق الأصل من جميع المُراسلات والوثائق المتعلّقة بتجارته الصادرة منه، والواردة إليه، ويكون الحفظ بطريقةٍ مُنتظمّةٍ تسهل معها مراجعة القيود الحسابيّة، وتكفل عند اللزوم التحقّق من الأرباح والخسائر.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t xml:space="preserve">مادّة (7): </w:t>
      </w:r>
      <w:r w:rsidRPr="00C848A6">
        <w:rPr>
          <w:rFonts w:asciiTheme="majorBidi" w:hAnsiTheme="majorBidi" w:cstheme="majorBidi"/>
          <w:color w:val="943634" w:themeColor="accent2" w:themeShade="BF"/>
          <w:sz w:val="36"/>
          <w:szCs w:val="36"/>
          <w:rtl/>
        </w:rPr>
        <w:t xml:space="preserve">يجب أن تكون الدفاتر المنصّوص عليها في هذا النظام وفقاً للنموذج الذي تحدّده وزارة التجارة على أن تكون صفحات هذه الدفاتر مُرقمّة.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t>مادّة (8):</w:t>
      </w:r>
      <w:r w:rsidRPr="00C848A6">
        <w:rPr>
          <w:rFonts w:asciiTheme="majorBidi" w:hAnsiTheme="majorBidi" w:cstheme="majorBidi"/>
          <w:color w:val="943634" w:themeColor="accent2" w:themeShade="BF"/>
          <w:sz w:val="36"/>
          <w:szCs w:val="36"/>
          <w:rtl/>
        </w:rPr>
        <w:t xml:space="preserve"> على التاجر وورثته الاحتفاظ بالدفاتر المنصّوص عليها في هذا النظام، والمُراسلات، والمُستندّات المُشار إليها في المادّة السادسّة مُدّة عشر سنوات على الأقلّ.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lastRenderedPageBreak/>
        <w:t>مادّة (9):</w:t>
      </w:r>
      <w:r w:rsidRPr="00C848A6">
        <w:rPr>
          <w:rFonts w:asciiTheme="majorBidi" w:hAnsiTheme="majorBidi" w:cstheme="majorBidi"/>
          <w:color w:val="943634" w:themeColor="accent2" w:themeShade="BF"/>
          <w:sz w:val="36"/>
          <w:szCs w:val="36"/>
          <w:rtl/>
        </w:rPr>
        <w:t xml:space="preserve"> يُفترّض أن جميع القيود المُدوَّنة في دفاتر التاجر قد دُوَّنت بعلمه ورضاه ما لم يُقُمّ الدليل على عكس ذلك.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t xml:space="preserve">مادّة (10): </w:t>
      </w:r>
      <w:r w:rsidRPr="00C848A6">
        <w:rPr>
          <w:rFonts w:asciiTheme="majorBidi" w:hAnsiTheme="majorBidi" w:cstheme="majorBidi"/>
          <w:color w:val="943634" w:themeColor="accent2" w:themeShade="BF"/>
          <w:sz w:val="36"/>
          <w:szCs w:val="36"/>
          <w:rtl/>
        </w:rPr>
        <w:t xml:space="preserve">للجهة القضائيّة المُختصّة عند نظر الدعوى أن تقرر من تلقاء نفسها أو بُناءً على طلب أحد الخُصوم تقديم الدفاتر التجاريّة لفحص القيود المتعلقة بالموضوع المُتنازع فيه، واستخلاص ما ترى استخلاصه منها. وللجهة القضائيّة المُختصّة عند امتناع التاجر عن تقديم دفاتره أن تعتبر امتناعه بمثابة قرينة على صحّة الوقائع المُراد إثباتها بالدفاتر.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t>مادّة (11):</w:t>
      </w:r>
      <w:r w:rsidRPr="00C848A6">
        <w:rPr>
          <w:rFonts w:asciiTheme="majorBidi" w:hAnsiTheme="majorBidi" w:cstheme="majorBidi"/>
          <w:color w:val="943634" w:themeColor="accent2" w:themeShade="BF"/>
          <w:sz w:val="36"/>
          <w:szCs w:val="36"/>
          <w:rtl/>
        </w:rPr>
        <w:t xml:space="preserve"> يتولى ضبط ما يقع من مخالفات لأحكام هذا النظام والقرّارات الصادرة تنفيذاً له موظّفون يصدر بتعيينهم قرّار من وزير التجارة.</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t xml:space="preserve">مادّة (12): </w:t>
      </w:r>
      <w:r w:rsidRPr="00C848A6">
        <w:rPr>
          <w:rFonts w:asciiTheme="majorBidi" w:hAnsiTheme="majorBidi" w:cstheme="majorBidi"/>
          <w:color w:val="943634" w:themeColor="accent2" w:themeShade="BF"/>
          <w:sz w:val="36"/>
          <w:szCs w:val="36"/>
          <w:rtl/>
        </w:rPr>
        <w:t xml:space="preserve">كل مُخالفة لأحكام هذا النظام، أو اللوائح، والقرّارات الصادرة تنفيذاً له يُعاقب مرتكبها بغرامّةٍ لا تقلّ عن خمسة آلاف ريال ولا تزيد على خمسين ألف ريال.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color w:val="943634" w:themeColor="accent2" w:themeShade="BF"/>
          <w:sz w:val="36"/>
          <w:szCs w:val="36"/>
          <w:rtl/>
        </w:rPr>
        <w:t> </w:t>
      </w:r>
    </w:p>
    <w:p w:rsidR="00C848A6" w:rsidRPr="00C848A6" w:rsidRDefault="00C848A6" w:rsidP="00C848A6">
      <w:pPr>
        <w:rPr>
          <w:rFonts w:asciiTheme="majorBidi" w:hAnsiTheme="majorBidi" w:cstheme="majorBidi"/>
          <w:color w:val="943634" w:themeColor="accent2" w:themeShade="BF"/>
          <w:sz w:val="36"/>
          <w:szCs w:val="36"/>
          <w:rtl/>
        </w:rPr>
      </w:pPr>
      <w:r w:rsidRPr="00C848A6">
        <w:rPr>
          <w:rFonts w:asciiTheme="majorBidi" w:hAnsiTheme="majorBidi" w:cstheme="majorBidi"/>
          <w:b/>
          <w:bCs/>
          <w:color w:val="943634" w:themeColor="accent2" w:themeShade="BF"/>
          <w:sz w:val="36"/>
          <w:szCs w:val="36"/>
          <w:rtl/>
        </w:rPr>
        <w:t>مادّة (13):</w:t>
      </w:r>
      <w:r w:rsidRPr="00C848A6">
        <w:rPr>
          <w:rFonts w:asciiTheme="majorBidi" w:hAnsiTheme="majorBidi" w:cstheme="majorBidi"/>
          <w:color w:val="943634" w:themeColor="accent2" w:themeShade="BF"/>
          <w:sz w:val="36"/>
          <w:szCs w:val="36"/>
          <w:rtl/>
        </w:rPr>
        <w:t xml:space="preserve"> يختصّ ديوان المظالِم بتوقيع العقوبات المنصّوص عليها في هذا النظام.</w:t>
      </w:r>
    </w:p>
    <w:p w:rsidR="00C848A6" w:rsidRPr="00C848A6" w:rsidRDefault="00C848A6" w:rsidP="00C848A6">
      <w:pPr>
        <w:rPr>
          <w:rFonts w:asciiTheme="majorBidi" w:hAnsiTheme="majorBidi" w:cstheme="majorBidi"/>
          <w:color w:val="943634" w:themeColor="accent2" w:themeShade="BF"/>
          <w:sz w:val="36"/>
          <w:szCs w:val="36"/>
        </w:rPr>
      </w:pPr>
      <w:bookmarkStart w:id="0" w:name="_GoBack"/>
      <w:bookmarkEnd w:id="0"/>
    </w:p>
    <w:sectPr w:rsidR="00C848A6" w:rsidRPr="00C848A6" w:rsidSect="00A850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46E"/>
    <w:multiLevelType w:val="multilevel"/>
    <w:tmpl w:val="82C8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A6"/>
    <w:rsid w:val="00592F10"/>
    <w:rsid w:val="00A850D4"/>
    <w:rsid w:val="00C84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50295">
      <w:bodyDiv w:val="1"/>
      <w:marLeft w:val="0"/>
      <w:marRight w:val="0"/>
      <w:marTop w:val="0"/>
      <w:marBottom w:val="0"/>
      <w:divBdr>
        <w:top w:val="none" w:sz="0" w:space="0" w:color="auto"/>
        <w:left w:val="none" w:sz="0" w:space="0" w:color="auto"/>
        <w:bottom w:val="none" w:sz="0" w:space="0" w:color="auto"/>
        <w:right w:val="none" w:sz="0" w:space="0" w:color="auto"/>
      </w:divBdr>
      <w:divsChild>
        <w:div w:id="655453989">
          <w:marLeft w:val="0"/>
          <w:marRight w:val="0"/>
          <w:marTop w:val="0"/>
          <w:marBottom w:val="0"/>
          <w:divBdr>
            <w:top w:val="none" w:sz="0" w:space="0" w:color="auto"/>
            <w:left w:val="none" w:sz="0" w:space="0" w:color="auto"/>
            <w:bottom w:val="none" w:sz="0" w:space="0" w:color="auto"/>
            <w:right w:val="none" w:sz="0" w:space="0" w:color="auto"/>
          </w:divBdr>
          <w:divsChild>
            <w:div w:id="1848130301">
              <w:marLeft w:val="0"/>
              <w:marRight w:val="0"/>
              <w:marTop w:val="0"/>
              <w:marBottom w:val="0"/>
              <w:divBdr>
                <w:top w:val="none" w:sz="0" w:space="0" w:color="auto"/>
                <w:left w:val="none" w:sz="0" w:space="0" w:color="auto"/>
                <w:bottom w:val="none" w:sz="0" w:space="0" w:color="auto"/>
                <w:right w:val="none" w:sz="0" w:space="0" w:color="auto"/>
              </w:divBdr>
              <w:divsChild>
                <w:div w:id="1885292081">
                  <w:marLeft w:val="0"/>
                  <w:marRight w:val="0"/>
                  <w:marTop w:val="0"/>
                  <w:marBottom w:val="0"/>
                  <w:divBdr>
                    <w:top w:val="single" w:sz="6" w:space="0" w:color="E0E0E0"/>
                    <w:left w:val="single" w:sz="6" w:space="0" w:color="E0E0E0"/>
                    <w:bottom w:val="single" w:sz="6" w:space="0" w:color="E0E0E0"/>
                    <w:right w:val="single" w:sz="6" w:space="0" w:color="E0E0E0"/>
                  </w:divBdr>
                  <w:divsChild>
                    <w:div w:id="247427076">
                      <w:marLeft w:val="0"/>
                      <w:marRight w:val="0"/>
                      <w:marTop w:val="0"/>
                      <w:marBottom w:val="0"/>
                      <w:divBdr>
                        <w:top w:val="none" w:sz="0" w:space="0" w:color="auto"/>
                        <w:left w:val="none" w:sz="0" w:space="0" w:color="auto"/>
                        <w:bottom w:val="none" w:sz="0" w:space="0" w:color="auto"/>
                        <w:right w:val="none" w:sz="0" w:space="0" w:color="auto"/>
                      </w:divBdr>
                      <w:divsChild>
                        <w:div w:id="1865050917">
                          <w:marLeft w:val="0"/>
                          <w:marRight w:val="0"/>
                          <w:marTop w:val="0"/>
                          <w:marBottom w:val="0"/>
                          <w:divBdr>
                            <w:top w:val="none" w:sz="0" w:space="0" w:color="auto"/>
                            <w:left w:val="none" w:sz="0" w:space="0" w:color="auto"/>
                            <w:bottom w:val="none" w:sz="0" w:space="0" w:color="auto"/>
                            <w:right w:val="none" w:sz="0" w:space="0" w:color="auto"/>
                          </w:divBdr>
                          <w:divsChild>
                            <w:div w:id="2141337220">
                              <w:marLeft w:val="0"/>
                              <w:marRight w:val="0"/>
                              <w:marTop w:val="0"/>
                              <w:marBottom w:val="0"/>
                              <w:divBdr>
                                <w:top w:val="none" w:sz="0" w:space="0" w:color="auto"/>
                                <w:left w:val="none" w:sz="0" w:space="0" w:color="auto"/>
                                <w:bottom w:val="none" w:sz="0" w:space="0" w:color="auto"/>
                                <w:right w:val="none" w:sz="0" w:space="0" w:color="auto"/>
                              </w:divBdr>
                              <w:divsChild>
                                <w:div w:id="1282960415">
                                  <w:marLeft w:val="0"/>
                                  <w:marRight w:val="0"/>
                                  <w:marTop w:val="0"/>
                                  <w:marBottom w:val="0"/>
                                  <w:divBdr>
                                    <w:top w:val="none" w:sz="0" w:space="0" w:color="auto"/>
                                    <w:left w:val="none" w:sz="0" w:space="0" w:color="auto"/>
                                    <w:bottom w:val="none" w:sz="0" w:space="0" w:color="auto"/>
                                    <w:right w:val="none" w:sz="0" w:space="0" w:color="auto"/>
                                  </w:divBdr>
                                  <w:divsChild>
                                    <w:div w:id="129059750">
                                      <w:marLeft w:val="0"/>
                                      <w:marRight w:val="0"/>
                                      <w:marTop w:val="0"/>
                                      <w:marBottom w:val="0"/>
                                      <w:divBdr>
                                        <w:top w:val="none" w:sz="0" w:space="0" w:color="auto"/>
                                        <w:left w:val="none" w:sz="0" w:space="0" w:color="auto"/>
                                        <w:bottom w:val="none" w:sz="0" w:space="0" w:color="auto"/>
                                        <w:right w:val="none" w:sz="0" w:space="0" w:color="auto"/>
                                      </w:divBdr>
                                      <w:divsChild>
                                        <w:div w:id="206112769">
                                          <w:marLeft w:val="0"/>
                                          <w:marRight w:val="0"/>
                                          <w:marTop w:val="0"/>
                                          <w:marBottom w:val="0"/>
                                          <w:divBdr>
                                            <w:top w:val="none" w:sz="0" w:space="0" w:color="auto"/>
                                            <w:left w:val="none" w:sz="0" w:space="0" w:color="auto"/>
                                            <w:bottom w:val="none" w:sz="0" w:space="0" w:color="auto"/>
                                            <w:right w:val="none" w:sz="0" w:space="0" w:color="auto"/>
                                          </w:divBdr>
                                          <w:divsChild>
                                            <w:div w:id="712927880">
                                              <w:marLeft w:val="0"/>
                                              <w:marRight w:val="0"/>
                                              <w:marTop w:val="0"/>
                                              <w:marBottom w:val="150"/>
                                              <w:divBdr>
                                                <w:top w:val="none" w:sz="0" w:space="0" w:color="auto"/>
                                                <w:left w:val="none" w:sz="0" w:space="0" w:color="auto"/>
                                                <w:bottom w:val="none" w:sz="0" w:space="0" w:color="auto"/>
                                                <w:right w:val="none" w:sz="0" w:space="0" w:color="auto"/>
                                              </w:divBdr>
                                            </w:div>
                                            <w:div w:id="733355555">
                                              <w:marLeft w:val="0"/>
                                              <w:marRight w:val="0"/>
                                              <w:marTop w:val="0"/>
                                              <w:marBottom w:val="0"/>
                                              <w:divBdr>
                                                <w:top w:val="none" w:sz="0" w:space="0" w:color="auto"/>
                                                <w:left w:val="none" w:sz="0" w:space="0" w:color="auto"/>
                                                <w:bottom w:val="none" w:sz="0" w:space="0" w:color="auto"/>
                                                <w:right w:val="none" w:sz="0" w:space="0" w:color="auto"/>
                                              </w:divBdr>
                                              <w:divsChild>
                                                <w:div w:id="1005279363">
                                                  <w:marLeft w:val="0"/>
                                                  <w:marRight w:val="0"/>
                                                  <w:marTop w:val="0"/>
                                                  <w:marBottom w:val="0"/>
                                                  <w:divBdr>
                                                    <w:top w:val="none" w:sz="0" w:space="0" w:color="auto"/>
                                                    <w:left w:val="none" w:sz="0" w:space="0" w:color="auto"/>
                                                    <w:bottom w:val="none" w:sz="0" w:space="0" w:color="auto"/>
                                                    <w:right w:val="none" w:sz="0" w:space="0" w:color="auto"/>
                                                  </w:divBdr>
                                                </w:div>
                                              </w:divsChild>
                                            </w:div>
                                            <w:div w:id="1854489218">
                                              <w:marLeft w:val="0"/>
                                              <w:marRight w:val="0"/>
                                              <w:marTop w:val="0"/>
                                              <w:marBottom w:val="0"/>
                                              <w:divBdr>
                                                <w:top w:val="none" w:sz="0" w:space="0" w:color="auto"/>
                                                <w:left w:val="none" w:sz="0" w:space="0" w:color="auto"/>
                                                <w:bottom w:val="none" w:sz="0" w:space="0" w:color="auto"/>
                                                <w:right w:val="none" w:sz="0" w:space="0" w:color="auto"/>
                                              </w:divBdr>
                                              <w:divsChild>
                                                <w:div w:id="1159736777">
                                                  <w:marLeft w:val="0"/>
                                                  <w:marRight w:val="0"/>
                                                  <w:marTop w:val="0"/>
                                                  <w:marBottom w:val="0"/>
                                                  <w:divBdr>
                                                    <w:top w:val="none" w:sz="0" w:space="0" w:color="auto"/>
                                                    <w:left w:val="none" w:sz="0" w:space="0" w:color="auto"/>
                                                    <w:bottom w:val="none" w:sz="0" w:space="0" w:color="auto"/>
                                                    <w:right w:val="none" w:sz="0" w:space="0" w:color="auto"/>
                                                  </w:divBdr>
                                                </w:div>
                                                <w:div w:id="1283724943">
                                                  <w:marLeft w:val="0"/>
                                                  <w:marRight w:val="0"/>
                                                  <w:marTop w:val="0"/>
                                                  <w:marBottom w:val="0"/>
                                                  <w:divBdr>
                                                    <w:top w:val="none" w:sz="0" w:space="0" w:color="auto"/>
                                                    <w:left w:val="none" w:sz="0" w:space="0" w:color="auto"/>
                                                    <w:bottom w:val="none" w:sz="0" w:space="0" w:color="auto"/>
                                                    <w:right w:val="none" w:sz="0" w:space="0" w:color="auto"/>
                                                  </w:divBdr>
                                                  <w:divsChild>
                                                    <w:div w:id="680662338">
                                                      <w:marLeft w:val="0"/>
                                                      <w:marRight w:val="0"/>
                                                      <w:marTop w:val="0"/>
                                                      <w:marBottom w:val="0"/>
                                                      <w:divBdr>
                                                        <w:top w:val="none" w:sz="0" w:space="0" w:color="auto"/>
                                                        <w:left w:val="none" w:sz="0" w:space="0" w:color="auto"/>
                                                        <w:bottom w:val="none" w:sz="0" w:space="0" w:color="auto"/>
                                                        <w:right w:val="none" w:sz="0" w:space="0" w:color="auto"/>
                                                      </w:divBdr>
                                                    </w:div>
                                                    <w:div w:id="75565410">
                                                      <w:marLeft w:val="0"/>
                                                      <w:marRight w:val="0"/>
                                                      <w:marTop w:val="0"/>
                                                      <w:marBottom w:val="0"/>
                                                      <w:divBdr>
                                                        <w:top w:val="none" w:sz="0" w:space="0" w:color="auto"/>
                                                        <w:left w:val="none" w:sz="0" w:space="0" w:color="auto"/>
                                                        <w:bottom w:val="none" w:sz="0" w:space="0" w:color="auto"/>
                                                        <w:right w:val="none" w:sz="0" w:space="0" w:color="auto"/>
                                                      </w:divBdr>
                                                    </w:div>
                                                    <w:div w:id="1953171903">
                                                      <w:marLeft w:val="0"/>
                                                      <w:marRight w:val="0"/>
                                                      <w:marTop w:val="0"/>
                                                      <w:marBottom w:val="0"/>
                                                      <w:divBdr>
                                                        <w:top w:val="none" w:sz="0" w:space="0" w:color="auto"/>
                                                        <w:left w:val="none" w:sz="0" w:space="0" w:color="auto"/>
                                                        <w:bottom w:val="none" w:sz="0" w:space="0" w:color="auto"/>
                                                        <w:right w:val="none" w:sz="0" w:space="0" w:color="auto"/>
                                                      </w:divBdr>
                                                    </w:div>
                                                    <w:div w:id="16809623">
                                                      <w:marLeft w:val="0"/>
                                                      <w:marRight w:val="0"/>
                                                      <w:marTop w:val="0"/>
                                                      <w:marBottom w:val="0"/>
                                                      <w:divBdr>
                                                        <w:top w:val="none" w:sz="0" w:space="0" w:color="auto"/>
                                                        <w:left w:val="none" w:sz="0" w:space="0" w:color="auto"/>
                                                        <w:bottom w:val="none" w:sz="0" w:space="0" w:color="auto"/>
                                                        <w:right w:val="none" w:sz="0" w:space="0" w:color="auto"/>
                                                      </w:divBdr>
                                                    </w:div>
                                                    <w:div w:id="302586117">
                                                      <w:marLeft w:val="0"/>
                                                      <w:marRight w:val="0"/>
                                                      <w:marTop w:val="0"/>
                                                      <w:marBottom w:val="0"/>
                                                      <w:divBdr>
                                                        <w:top w:val="none" w:sz="0" w:space="0" w:color="auto"/>
                                                        <w:left w:val="none" w:sz="0" w:space="0" w:color="auto"/>
                                                        <w:bottom w:val="none" w:sz="0" w:space="0" w:color="auto"/>
                                                        <w:right w:val="none" w:sz="0" w:space="0" w:color="auto"/>
                                                      </w:divBdr>
                                                    </w:div>
                                                    <w:div w:id="1923299252">
                                                      <w:marLeft w:val="0"/>
                                                      <w:marRight w:val="0"/>
                                                      <w:marTop w:val="0"/>
                                                      <w:marBottom w:val="0"/>
                                                      <w:divBdr>
                                                        <w:top w:val="none" w:sz="0" w:space="0" w:color="auto"/>
                                                        <w:left w:val="none" w:sz="0" w:space="0" w:color="auto"/>
                                                        <w:bottom w:val="none" w:sz="0" w:space="0" w:color="auto"/>
                                                        <w:right w:val="none" w:sz="0" w:space="0" w:color="auto"/>
                                                      </w:divBdr>
                                                    </w:div>
                                                    <w:div w:id="183833005">
                                                      <w:marLeft w:val="0"/>
                                                      <w:marRight w:val="0"/>
                                                      <w:marTop w:val="0"/>
                                                      <w:marBottom w:val="0"/>
                                                      <w:divBdr>
                                                        <w:top w:val="none" w:sz="0" w:space="0" w:color="auto"/>
                                                        <w:left w:val="none" w:sz="0" w:space="0" w:color="auto"/>
                                                        <w:bottom w:val="none" w:sz="0" w:space="0" w:color="auto"/>
                                                        <w:right w:val="none" w:sz="0" w:space="0" w:color="auto"/>
                                                      </w:divBdr>
                                                    </w:div>
                                                    <w:div w:id="548225484">
                                                      <w:marLeft w:val="0"/>
                                                      <w:marRight w:val="0"/>
                                                      <w:marTop w:val="0"/>
                                                      <w:marBottom w:val="0"/>
                                                      <w:divBdr>
                                                        <w:top w:val="none" w:sz="0" w:space="0" w:color="auto"/>
                                                        <w:left w:val="none" w:sz="0" w:space="0" w:color="auto"/>
                                                        <w:bottom w:val="none" w:sz="0" w:space="0" w:color="auto"/>
                                                        <w:right w:val="none" w:sz="0" w:space="0" w:color="auto"/>
                                                      </w:divBdr>
                                                    </w:div>
                                                    <w:div w:id="1517891197">
                                                      <w:marLeft w:val="0"/>
                                                      <w:marRight w:val="0"/>
                                                      <w:marTop w:val="0"/>
                                                      <w:marBottom w:val="0"/>
                                                      <w:divBdr>
                                                        <w:top w:val="none" w:sz="0" w:space="0" w:color="auto"/>
                                                        <w:left w:val="none" w:sz="0" w:space="0" w:color="auto"/>
                                                        <w:bottom w:val="none" w:sz="0" w:space="0" w:color="auto"/>
                                                        <w:right w:val="none" w:sz="0" w:space="0" w:color="auto"/>
                                                      </w:divBdr>
                                                    </w:div>
                                                    <w:div w:id="370155934">
                                                      <w:marLeft w:val="0"/>
                                                      <w:marRight w:val="0"/>
                                                      <w:marTop w:val="0"/>
                                                      <w:marBottom w:val="0"/>
                                                      <w:divBdr>
                                                        <w:top w:val="none" w:sz="0" w:space="0" w:color="auto"/>
                                                        <w:left w:val="none" w:sz="0" w:space="0" w:color="auto"/>
                                                        <w:bottom w:val="none" w:sz="0" w:space="0" w:color="auto"/>
                                                        <w:right w:val="none" w:sz="0" w:space="0" w:color="auto"/>
                                                      </w:divBdr>
                                                    </w:div>
                                                    <w:div w:id="8773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2015-04-04T17:58:00Z</dcterms:created>
  <dcterms:modified xsi:type="dcterms:W3CDTF">2015-04-04T18:00:00Z</dcterms:modified>
</cp:coreProperties>
</file>