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charts/chart7.xml" ContentType="application/vnd.openxmlformats-officedocument.drawingml.chart+xml"/>
  <Override PartName="/word/drawings/drawing7.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DC" w:rsidRDefault="000C49DC" w:rsidP="000C49DC">
      <w:pPr>
        <w:spacing w:after="0" w:line="280" w:lineRule="exact"/>
        <w:contextualSpacing/>
        <w:jc w:val="center"/>
        <w:rPr>
          <w:rFonts w:ascii="Times New Roman" w:eastAsia="PMingLiU" w:hAnsi="Times New Roman" w:cs="Times New Roman"/>
          <w:b/>
          <w:bCs/>
          <w:sz w:val="28"/>
          <w:szCs w:val="28"/>
          <w:lang w:eastAsia="zh-TW"/>
        </w:rPr>
      </w:pPr>
      <w:r w:rsidRPr="0094183A">
        <w:rPr>
          <w:rFonts w:ascii="Times New Roman" w:eastAsia="PMingLiU" w:hAnsi="Times New Roman" w:cs="Times New Roman"/>
          <w:b/>
          <w:bCs/>
          <w:sz w:val="28"/>
          <w:szCs w:val="28"/>
          <w:lang w:eastAsia="zh-TW"/>
        </w:rPr>
        <w:t xml:space="preserve">A Rock Mechanical Model for Overbalanced, Managed Pressure, </w:t>
      </w:r>
    </w:p>
    <w:p w:rsidR="0094183A" w:rsidRPr="0094183A" w:rsidRDefault="000C49DC" w:rsidP="000C49DC">
      <w:pPr>
        <w:spacing w:after="0" w:line="280" w:lineRule="exact"/>
        <w:contextualSpacing/>
        <w:jc w:val="center"/>
        <w:rPr>
          <w:rFonts w:ascii="Times New Roman" w:eastAsia="PMingLiU" w:hAnsi="Times New Roman" w:cs="Times New Roman"/>
          <w:b/>
          <w:bCs/>
          <w:sz w:val="28"/>
          <w:szCs w:val="28"/>
          <w:lang w:eastAsia="zh-TW"/>
        </w:rPr>
      </w:pPr>
      <w:r>
        <w:rPr>
          <w:rFonts w:ascii="Times New Roman" w:eastAsia="PMingLiU" w:hAnsi="Times New Roman" w:cs="Times New Roman"/>
          <w:b/>
          <w:bCs/>
          <w:sz w:val="28"/>
          <w:szCs w:val="28"/>
          <w:lang w:eastAsia="zh-TW"/>
        </w:rPr>
        <w:t>a</w:t>
      </w:r>
      <w:r w:rsidRPr="0094183A">
        <w:rPr>
          <w:rFonts w:ascii="Times New Roman" w:eastAsia="PMingLiU" w:hAnsi="Times New Roman" w:cs="Times New Roman"/>
          <w:b/>
          <w:bCs/>
          <w:sz w:val="28"/>
          <w:szCs w:val="28"/>
          <w:lang w:eastAsia="zh-TW"/>
        </w:rPr>
        <w:t>nd Underbalanced Drilling Applications</w:t>
      </w:r>
    </w:p>
    <w:p w:rsidR="001E163C" w:rsidRPr="009C63A5" w:rsidRDefault="001E163C" w:rsidP="008F0E7C">
      <w:pPr>
        <w:spacing w:after="0" w:line="240" w:lineRule="exact"/>
        <w:contextualSpacing/>
        <w:jc w:val="center"/>
        <w:rPr>
          <w:rFonts w:ascii="Times New Roman" w:hAnsi="Times New Roman" w:cs="Times New Roman"/>
          <w:b/>
          <w:bCs/>
          <w:sz w:val="28"/>
          <w:szCs w:val="28"/>
        </w:rPr>
      </w:pPr>
    </w:p>
    <w:p w:rsidR="00BB6191" w:rsidRPr="00BB6191" w:rsidRDefault="00BB6191" w:rsidP="00BB6191">
      <w:pPr>
        <w:spacing w:after="0" w:line="240" w:lineRule="exact"/>
        <w:contextualSpacing/>
        <w:jc w:val="center"/>
        <w:rPr>
          <w:rFonts w:ascii="Times New Roman" w:eastAsia="Malgun Gothic" w:hAnsi="Times New Roman" w:cs="Times New Roman"/>
          <w:lang w:eastAsia="ko-KR"/>
        </w:rPr>
      </w:pPr>
      <w:r w:rsidRPr="00BB6191">
        <w:rPr>
          <w:rFonts w:ascii="Times New Roman" w:eastAsia="Malgun Gothic" w:hAnsi="Times New Roman" w:cs="Times New Roman"/>
          <w:lang w:eastAsia="ko-KR"/>
        </w:rPr>
        <w:t>Musaed N. J. AlAwad</w:t>
      </w:r>
    </w:p>
    <w:p w:rsidR="001E163C" w:rsidRPr="009C63A5" w:rsidRDefault="001E163C" w:rsidP="008F0E7C">
      <w:pPr>
        <w:spacing w:after="0" w:line="240" w:lineRule="exact"/>
        <w:contextualSpacing/>
        <w:jc w:val="center"/>
        <w:rPr>
          <w:rFonts w:ascii="Times New Roman" w:hAnsi="Times New Roman" w:cs="Times New Roman"/>
        </w:rPr>
      </w:pPr>
    </w:p>
    <w:p w:rsidR="00BB6191" w:rsidRPr="00BB6191" w:rsidRDefault="00BB6191" w:rsidP="00BB6191">
      <w:pPr>
        <w:spacing w:after="0" w:line="240" w:lineRule="exact"/>
        <w:contextualSpacing/>
        <w:jc w:val="center"/>
        <w:rPr>
          <w:rFonts w:ascii="Times New Roman" w:hAnsi="Times New Roman" w:cs="Times New Roman"/>
          <w:i/>
          <w:iCs/>
        </w:rPr>
      </w:pPr>
      <w:r w:rsidRPr="00BB6191">
        <w:rPr>
          <w:rFonts w:ascii="Times New Roman" w:hAnsi="Times New Roman" w:cs="Times New Roman"/>
          <w:i/>
          <w:iCs/>
        </w:rPr>
        <w:t>King Saud University, College of Engineering,</w:t>
      </w:r>
    </w:p>
    <w:p w:rsidR="00BB6191" w:rsidRPr="00BB6191" w:rsidRDefault="00BB6191" w:rsidP="00BB6191">
      <w:pPr>
        <w:spacing w:after="0" w:line="240" w:lineRule="exact"/>
        <w:contextualSpacing/>
        <w:jc w:val="center"/>
        <w:rPr>
          <w:rFonts w:ascii="Times New Roman" w:hAnsi="Times New Roman" w:cs="Times New Roman"/>
          <w:i/>
          <w:iCs/>
        </w:rPr>
      </w:pPr>
      <w:r w:rsidRPr="00BB6191">
        <w:rPr>
          <w:rFonts w:ascii="Times New Roman" w:hAnsi="Times New Roman" w:cs="Times New Roman"/>
          <w:i/>
          <w:iCs/>
        </w:rPr>
        <w:t>Petroleum and Natural Gas Engineering Department,</w:t>
      </w:r>
    </w:p>
    <w:p w:rsidR="00BB6191" w:rsidRPr="00BB6191" w:rsidRDefault="00BB6191" w:rsidP="00BB6191">
      <w:pPr>
        <w:spacing w:after="0" w:line="240" w:lineRule="exact"/>
        <w:contextualSpacing/>
        <w:jc w:val="center"/>
        <w:rPr>
          <w:rFonts w:ascii="Times New Roman" w:hAnsi="Times New Roman" w:cs="Times New Roman"/>
          <w:i/>
          <w:iCs/>
        </w:rPr>
      </w:pPr>
      <w:r>
        <w:rPr>
          <w:rFonts w:ascii="Times New Roman" w:hAnsi="Times New Roman" w:cs="Times New Roman"/>
          <w:i/>
          <w:iCs/>
        </w:rPr>
        <w:t>m</w:t>
      </w:r>
      <w:r w:rsidRPr="00BB6191">
        <w:rPr>
          <w:rFonts w:ascii="Times New Roman" w:hAnsi="Times New Roman" w:cs="Times New Roman"/>
          <w:i/>
          <w:iCs/>
        </w:rPr>
        <w:t>alawwad@ksu.edu.sa</w:t>
      </w:r>
    </w:p>
    <w:p w:rsidR="001E163C" w:rsidRPr="009C63A5" w:rsidRDefault="001E163C" w:rsidP="008F0E7C">
      <w:pPr>
        <w:spacing w:after="0" w:line="240" w:lineRule="exact"/>
        <w:contextualSpacing/>
        <w:jc w:val="center"/>
        <w:rPr>
          <w:rFonts w:ascii="Times New Roman" w:hAnsi="Times New Roman" w:cs="Times New Roman"/>
        </w:rPr>
      </w:pPr>
    </w:p>
    <w:p w:rsidR="001E163C" w:rsidRPr="009C63A5" w:rsidRDefault="001E163C" w:rsidP="008F0E7C">
      <w:pPr>
        <w:spacing w:after="0" w:line="240" w:lineRule="exact"/>
        <w:contextualSpacing/>
        <w:jc w:val="center"/>
        <w:rPr>
          <w:rFonts w:ascii="Times New Roman" w:hAnsi="Times New Roman" w:cs="Times New Roman"/>
          <w:b/>
          <w:bCs/>
        </w:rPr>
      </w:pPr>
    </w:p>
    <w:p w:rsidR="001E163C" w:rsidRPr="009C63A5" w:rsidRDefault="001E163C" w:rsidP="008F0E7C">
      <w:pPr>
        <w:spacing w:after="0" w:line="240" w:lineRule="exact"/>
        <w:contextualSpacing/>
        <w:jc w:val="center"/>
        <w:rPr>
          <w:rFonts w:ascii="Times New Roman" w:hAnsi="Times New Roman" w:cs="Times New Roman"/>
          <w:b/>
          <w:bCs/>
        </w:rPr>
      </w:pPr>
      <w:r w:rsidRPr="009C63A5">
        <w:rPr>
          <w:rFonts w:ascii="Times New Roman" w:hAnsi="Times New Roman" w:cs="Times New Roman"/>
          <w:b/>
          <w:bCs/>
        </w:rPr>
        <w:t>Abstract</w:t>
      </w:r>
    </w:p>
    <w:p w:rsidR="001E163C" w:rsidRPr="009C63A5" w:rsidRDefault="001E163C" w:rsidP="008F0E7C">
      <w:pPr>
        <w:spacing w:after="0" w:line="240" w:lineRule="exact"/>
        <w:contextualSpacing/>
        <w:jc w:val="center"/>
        <w:rPr>
          <w:rFonts w:ascii="Times New Roman" w:hAnsi="Times New Roman" w:cs="Times New Roman"/>
          <w:b/>
          <w:bCs/>
        </w:rPr>
      </w:pPr>
    </w:p>
    <w:p w:rsidR="00213136" w:rsidRPr="00336D52" w:rsidRDefault="00BB6191" w:rsidP="00213136">
      <w:pPr>
        <w:spacing w:after="0" w:line="240" w:lineRule="exact"/>
        <w:ind w:firstLine="289"/>
        <w:jc w:val="both"/>
        <w:rPr>
          <w:rFonts w:ascii="Times New Roman" w:hAnsi="Times New Roman" w:cs="Times New Roman"/>
        </w:rPr>
      </w:pPr>
      <w:r w:rsidRPr="00BB6191">
        <w:rPr>
          <w:rFonts w:ascii="Times New Roman" w:hAnsi="Times New Roman" w:cs="Times New Roman"/>
        </w:rPr>
        <w:t xml:space="preserve">In this work rock mechanics principles are used to elaborate a mathematical model to predict wellbore pressure required for safe overbalanced (OBD), managed pressure (MPD), and underbalanced (UBD) drilling based on laboratory evaluation of representative core samples from the formation to be drilled.  The elaborated model combines the linear-poroelastic solution of stresses around circular boreholes and Mohr-Coulomb failure criterion. The model compares the induced stresses caused by the application of drilling (wellbore pressure) with the allowable induced stresses based on laboratory measurements of the formation mechanical properties (unconfined compressive strength and poison’s ratio), failure criteria (apparent cohesion and angle of internal friction), in-situ principle stresses, and wellbore trajectory (vertical, directional, or </w:t>
      </w:r>
      <w:r w:rsidRPr="00336D52">
        <w:rPr>
          <w:rFonts w:ascii="Times New Roman" w:hAnsi="Times New Roman" w:cs="Times New Roman"/>
        </w:rPr>
        <w:t>horizontal).</w:t>
      </w:r>
      <w:r w:rsidR="00425BAA" w:rsidRPr="00336D52">
        <w:rPr>
          <w:rFonts w:ascii="Times New Roman" w:hAnsi="Times New Roman" w:cs="Times New Roman"/>
        </w:rPr>
        <w:t xml:space="preserve">  </w:t>
      </w:r>
      <w:r w:rsidRPr="00336D52">
        <w:rPr>
          <w:rFonts w:ascii="Times New Roman" w:hAnsi="Times New Roman" w:cs="Times New Roman"/>
        </w:rPr>
        <w:t>Three hyp</w:t>
      </w:r>
      <w:r w:rsidR="00807F6B" w:rsidRPr="00336D52">
        <w:rPr>
          <w:rFonts w:ascii="Times New Roman" w:hAnsi="Times New Roman" w:cs="Times New Roman"/>
        </w:rPr>
        <w:t xml:space="preserve">othetical formations, </w:t>
      </w:r>
      <w:r w:rsidR="00213136" w:rsidRPr="00336D52">
        <w:rPr>
          <w:rFonts w:ascii="Times New Roman" w:hAnsi="Times New Roman" w:cs="Times New Roman"/>
        </w:rPr>
        <w:t xml:space="preserve">very weak (ISRM grade R1), weak (ISRM grade R2), and </w:t>
      </w:r>
      <w:r w:rsidR="00807F6B" w:rsidRPr="00336D52">
        <w:rPr>
          <w:rFonts w:ascii="Times New Roman" w:hAnsi="Times New Roman" w:cs="Times New Roman"/>
        </w:rPr>
        <w:t>medium</w:t>
      </w:r>
      <w:r w:rsidR="00213136" w:rsidRPr="00336D52">
        <w:rPr>
          <w:rFonts w:ascii="Times New Roman" w:hAnsi="Times New Roman" w:cs="Times New Roman"/>
        </w:rPr>
        <w:t xml:space="preserve"> strong (ISRM grade R3)</w:t>
      </w:r>
      <w:r w:rsidRPr="00336D52">
        <w:rPr>
          <w:rFonts w:ascii="Times New Roman" w:hAnsi="Times New Roman" w:cs="Times New Roman"/>
        </w:rPr>
        <w:t xml:space="preserve"> rocks were used to illustrate the application of the model.  </w:t>
      </w:r>
    </w:p>
    <w:p w:rsidR="00BB6191" w:rsidRPr="00BB6191" w:rsidRDefault="00BB6191" w:rsidP="00213136">
      <w:pPr>
        <w:spacing w:before="120" w:after="0" w:line="240" w:lineRule="exact"/>
        <w:ind w:firstLine="289"/>
        <w:jc w:val="both"/>
        <w:rPr>
          <w:rFonts w:ascii="Times New Roman" w:hAnsi="Times New Roman" w:cs="Times New Roman"/>
        </w:rPr>
      </w:pPr>
      <w:r w:rsidRPr="00336D52">
        <w:rPr>
          <w:rFonts w:ascii="Times New Roman" w:hAnsi="Times New Roman" w:cs="Times New Roman"/>
        </w:rPr>
        <w:t xml:space="preserve">It was found that the </w:t>
      </w:r>
      <w:r w:rsidR="00807F6B" w:rsidRPr="00336D52">
        <w:rPr>
          <w:rFonts w:ascii="Times New Roman" w:hAnsi="Times New Roman" w:cs="Times New Roman"/>
        </w:rPr>
        <w:t xml:space="preserve">safe </w:t>
      </w:r>
      <w:r w:rsidRPr="00336D52">
        <w:rPr>
          <w:rFonts w:ascii="Times New Roman" w:hAnsi="Times New Roman" w:cs="Times New Roman"/>
        </w:rPr>
        <w:t>window</w:t>
      </w:r>
      <w:r w:rsidR="00807F6B" w:rsidRPr="00336D52">
        <w:rPr>
          <w:rFonts w:ascii="Times New Roman" w:hAnsi="Times New Roman" w:cs="Times New Roman"/>
        </w:rPr>
        <w:t>s</w:t>
      </w:r>
      <w:r w:rsidRPr="00336D52">
        <w:rPr>
          <w:rFonts w:ascii="Times New Roman" w:hAnsi="Times New Roman" w:cs="Times New Roman"/>
        </w:rPr>
        <w:t xml:space="preserve"> for</w:t>
      </w:r>
      <w:r w:rsidR="00807F6B" w:rsidRPr="00336D52">
        <w:rPr>
          <w:rFonts w:ascii="Times New Roman" w:hAnsi="Times New Roman" w:cs="Times New Roman"/>
        </w:rPr>
        <w:t xml:space="preserve"> OBD and</w:t>
      </w:r>
      <w:r w:rsidRPr="00336D52">
        <w:rPr>
          <w:rFonts w:ascii="Times New Roman" w:hAnsi="Times New Roman" w:cs="Times New Roman"/>
        </w:rPr>
        <w:t xml:space="preserve"> </w:t>
      </w:r>
      <w:r w:rsidR="00807F6B" w:rsidRPr="00336D52">
        <w:rPr>
          <w:rFonts w:ascii="Times New Roman" w:hAnsi="Times New Roman" w:cs="Times New Roman"/>
        </w:rPr>
        <w:t>UBD</w:t>
      </w:r>
      <w:r w:rsidRPr="00336D52">
        <w:rPr>
          <w:rFonts w:ascii="Times New Roman" w:hAnsi="Times New Roman" w:cs="Times New Roman"/>
        </w:rPr>
        <w:t xml:space="preserve"> drilling in vertical wells </w:t>
      </w:r>
      <w:r w:rsidR="00807F6B" w:rsidRPr="00336D52">
        <w:rPr>
          <w:rFonts w:ascii="Times New Roman" w:hAnsi="Times New Roman" w:cs="Times New Roman"/>
        </w:rPr>
        <w:t>are much wider than those</w:t>
      </w:r>
      <w:r w:rsidRPr="00336D52">
        <w:rPr>
          <w:rFonts w:ascii="Times New Roman" w:hAnsi="Times New Roman" w:cs="Times New Roman"/>
        </w:rPr>
        <w:t xml:space="preserve"> of the horizontal wells for</w:t>
      </w:r>
      <w:r w:rsidR="00807F6B" w:rsidRPr="00336D52">
        <w:rPr>
          <w:rFonts w:ascii="Times New Roman" w:hAnsi="Times New Roman" w:cs="Times New Roman"/>
        </w:rPr>
        <w:t xml:space="preserve"> all studied rocks</w:t>
      </w:r>
      <w:r w:rsidRPr="00336D52">
        <w:rPr>
          <w:rFonts w:ascii="Times New Roman" w:hAnsi="Times New Roman" w:cs="Times New Roman"/>
        </w:rPr>
        <w:t xml:space="preserve">. </w:t>
      </w:r>
      <w:r w:rsidR="00807F6B" w:rsidRPr="00336D52">
        <w:rPr>
          <w:rFonts w:ascii="Times New Roman" w:hAnsi="Times New Roman" w:cs="Times New Roman"/>
        </w:rPr>
        <w:t xml:space="preserve"> Also it was found that the safe drilling window width </w:t>
      </w:r>
      <w:r w:rsidR="00213136" w:rsidRPr="00336D52">
        <w:rPr>
          <w:rFonts w:ascii="Times New Roman" w:hAnsi="Times New Roman" w:cs="Times New Roman"/>
        </w:rPr>
        <w:t>increases</w:t>
      </w:r>
      <w:r w:rsidR="00807F6B" w:rsidRPr="00336D52">
        <w:rPr>
          <w:rFonts w:ascii="Times New Roman" w:hAnsi="Times New Roman" w:cs="Times New Roman"/>
        </w:rPr>
        <w:t xml:space="preserve"> as the rock strength </w:t>
      </w:r>
      <w:r w:rsidR="00213136" w:rsidRPr="00336D52">
        <w:rPr>
          <w:rFonts w:ascii="Times New Roman" w:hAnsi="Times New Roman" w:cs="Times New Roman"/>
        </w:rPr>
        <w:t>increases</w:t>
      </w:r>
      <w:r w:rsidR="00807F6B" w:rsidRPr="00336D52">
        <w:rPr>
          <w:rFonts w:ascii="Times New Roman" w:hAnsi="Times New Roman" w:cs="Times New Roman"/>
        </w:rPr>
        <w:t xml:space="preserve"> for both vertical and horizontal wells.  Furthermore, </w:t>
      </w:r>
      <w:r w:rsidRPr="00336D52">
        <w:rPr>
          <w:rFonts w:ascii="Times New Roman" w:hAnsi="Times New Roman" w:cs="Times New Roman"/>
        </w:rPr>
        <w:t xml:space="preserve">it was found that it is </w:t>
      </w:r>
      <w:r w:rsidR="00213136" w:rsidRPr="00336D52">
        <w:rPr>
          <w:rFonts w:ascii="Times New Roman" w:hAnsi="Times New Roman" w:cs="Times New Roman"/>
        </w:rPr>
        <w:t>extremely difficult</w:t>
      </w:r>
      <w:r w:rsidRPr="00336D52">
        <w:rPr>
          <w:rFonts w:ascii="Times New Roman" w:hAnsi="Times New Roman" w:cs="Times New Roman"/>
        </w:rPr>
        <w:t xml:space="preserve"> to use UBD to drill horizontal we</w:t>
      </w:r>
      <w:r w:rsidR="00213136" w:rsidRPr="00336D52">
        <w:rPr>
          <w:rFonts w:ascii="Times New Roman" w:hAnsi="Times New Roman" w:cs="Times New Roman"/>
        </w:rPr>
        <w:t xml:space="preserve">lls parallel to the maximum principle horizontal in-situ stress in the very weak rock (R1) under the studied conditions. </w:t>
      </w:r>
      <w:r w:rsidRPr="00336D52">
        <w:rPr>
          <w:rFonts w:ascii="Times New Roman" w:hAnsi="Times New Roman" w:cs="Times New Roman"/>
        </w:rPr>
        <w:t xml:space="preserve">Therefore, the model in this paper provides a reliable tool for the prediction of </w:t>
      </w:r>
      <w:r w:rsidR="00213136" w:rsidRPr="00336D52">
        <w:rPr>
          <w:rFonts w:ascii="Times New Roman" w:hAnsi="Times New Roman" w:cs="Times New Roman"/>
        </w:rPr>
        <w:t>optimum</w:t>
      </w:r>
      <w:r w:rsidRPr="00336D52">
        <w:rPr>
          <w:rFonts w:ascii="Times New Roman" w:hAnsi="Times New Roman" w:cs="Times New Roman"/>
        </w:rPr>
        <w:t xml:space="preserve"> drilling window required for borehole stability and drilling safety.</w:t>
      </w:r>
    </w:p>
    <w:p w:rsidR="001E163C" w:rsidRPr="009C63A5" w:rsidRDefault="001E163C" w:rsidP="00EC7EB1">
      <w:pPr>
        <w:spacing w:afterLines="30" w:after="72" w:line="240" w:lineRule="exact"/>
        <w:jc w:val="both"/>
        <w:rPr>
          <w:rFonts w:ascii="Times New Roman" w:hAnsi="Times New Roman" w:cs="Times New Roman"/>
        </w:rPr>
      </w:pPr>
    </w:p>
    <w:p w:rsidR="00BB6191" w:rsidRPr="00BB6191" w:rsidRDefault="001E163C" w:rsidP="00E55BB3">
      <w:pPr>
        <w:spacing w:after="0" w:line="240" w:lineRule="exact"/>
        <w:ind w:left="1260" w:hanging="1260"/>
        <w:jc w:val="both"/>
        <w:rPr>
          <w:rFonts w:ascii="Times New Roman" w:hAnsi="Times New Roman" w:cs="Times New Roman"/>
          <w:lang w:eastAsia="ko-KR"/>
        </w:rPr>
      </w:pPr>
      <w:r w:rsidRPr="009C63A5">
        <w:rPr>
          <w:rFonts w:ascii="Times New Roman" w:hAnsi="Times New Roman" w:cs="Times New Roman"/>
          <w:b/>
          <w:bCs/>
          <w:lang w:eastAsia="ko-KR"/>
        </w:rPr>
        <w:t>Keywords:</w:t>
      </w:r>
      <w:r w:rsidR="00E55BB3">
        <w:rPr>
          <w:rFonts w:ascii="Times New Roman" w:hAnsi="Times New Roman" w:cs="Times New Roman"/>
          <w:b/>
          <w:bCs/>
          <w:lang w:eastAsia="ko-KR"/>
        </w:rPr>
        <w:t xml:space="preserve"> </w:t>
      </w:r>
      <w:r w:rsidR="00E55BB3">
        <w:rPr>
          <w:rFonts w:ascii="Times New Roman" w:hAnsi="Times New Roman" w:cs="Times New Roman"/>
          <w:b/>
          <w:bCs/>
          <w:lang w:eastAsia="ko-KR"/>
        </w:rPr>
        <w:tab/>
      </w:r>
      <w:r w:rsidR="00BB6191" w:rsidRPr="00BB6191">
        <w:rPr>
          <w:rFonts w:ascii="Times New Roman" w:hAnsi="Times New Roman" w:cs="Times New Roman"/>
          <w:lang w:eastAsia="ko-KR"/>
        </w:rPr>
        <w:t>Underbalanced Drilling, Overbalanced Drilling, Managed Pre</w:t>
      </w:r>
      <w:r w:rsidR="00E55BB3">
        <w:rPr>
          <w:rFonts w:ascii="Times New Roman" w:hAnsi="Times New Roman" w:cs="Times New Roman"/>
          <w:lang w:eastAsia="ko-KR"/>
        </w:rPr>
        <w:t xml:space="preserve">ssure Drilling, </w:t>
      </w:r>
      <w:r w:rsidR="003506D0">
        <w:rPr>
          <w:rFonts w:ascii="Times New Roman" w:hAnsi="Times New Roman" w:cs="Times New Roman"/>
          <w:lang w:eastAsia="ko-KR"/>
        </w:rPr>
        <w:t>Linear Poroelastic,</w:t>
      </w:r>
      <w:r w:rsidR="00BB6191" w:rsidRPr="00BB6191">
        <w:rPr>
          <w:rFonts w:ascii="Times New Roman" w:hAnsi="Times New Roman" w:cs="Times New Roman"/>
          <w:lang w:eastAsia="ko-KR"/>
        </w:rPr>
        <w:t xml:space="preserve"> Mohr-Coulomb Failure Criterion</w:t>
      </w:r>
    </w:p>
    <w:p w:rsidR="001E163C" w:rsidRDefault="001E163C" w:rsidP="00EC7EB1">
      <w:pPr>
        <w:spacing w:afterLines="30" w:after="72" w:line="240" w:lineRule="exact"/>
        <w:jc w:val="both"/>
        <w:rPr>
          <w:rFonts w:ascii="Times New Roman" w:hAnsi="Times New Roman" w:cs="Times New Roman"/>
        </w:rPr>
      </w:pPr>
    </w:p>
    <w:p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hAnsi="Times New Roman" w:cs="Times New Roman"/>
          <w:b/>
          <w:bCs/>
          <w:lang w:eastAsia="ko-KR"/>
        </w:rPr>
        <w:t>Introduction</w:t>
      </w:r>
    </w:p>
    <w:p w:rsidR="002D52A7" w:rsidRPr="002D52A7" w:rsidRDefault="002D52A7" w:rsidP="00425BAA">
      <w:pPr>
        <w:spacing w:after="0" w:line="240" w:lineRule="exact"/>
        <w:ind w:firstLine="289"/>
        <w:jc w:val="both"/>
        <w:rPr>
          <w:rFonts w:ascii="Times New Roman" w:hAnsi="Times New Roman" w:cs="Times New Roman"/>
        </w:rPr>
      </w:pPr>
      <w:r w:rsidRPr="002D52A7">
        <w:rPr>
          <w:rFonts w:ascii="Times New Roman" w:hAnsi="Times New Roman" w:cs="Times New Roman"/>
        </w:rPr>
        <w:t>The most common way of drilling a well today is by overbalance pressure (OBD).  This method is the way it has been used since the beginning of the developing petroleum industry. By drilling overbalanced, the bottom hole (wellbore) pressure (P</w:t>
      </w:r>
      <w:r w:rsidRPr="0097693F">
        <w:rPr>
          <w:rFonts w:ascii="Times New Roman" w:hAnsi="Times New Roman" w:cs="Times New Roman"/>
          <w:vertAlign w:val="subscript"/>
        </w:rPr>
        <w:t>w</w:t>
      </w:r>
      <w:r w:rsidRPr="002D52A7">
        <w:rPr>
          <w:rFonts w:ascii="Times New Roman" w:hAnsi="Times New Roman" w:cs="Times New Roman"/>
        </w:rPr>
        <w:t>) is kept higher than the formation pore fluid pressure (P</w:t>
      </w:r>
      <w:r w:rsidRPr="0097693F">
        <w:rPr>
          <w:rFonts w:ascii="Times New Roman" w:hAnsi="Times New Roman" w:cs="Times New Roman"/>
          <w:vertAlign w:val="subscript"/>
        </w:rPr>
        <w:t>p</w:t>
      </w:r>
      <w:r w:rsidRPr="002D52A7">
        <w:rPr>
          <w:rFonts w:ascii="Times New Roman" w:hAnsi="Times New Roman" w:cs="Times New Roman"/>
        </w:rPr>
        <w:t xml:space="preserve">) at all times while drilling the well. To keep the well overbalanced at all times requires adjustments of the mud weight during the whole drilling operation. The designed mud weight must be lower than the formation fracture pressure, but higher than the formation pore fluid pressure.  The main disadvantages of the conventional drilling (OBD) are: it is well-known drilling technique, its safety issues are very well known, requires fewer personnel to operate, more economical, requires less rig space, provides good borehole stability, and there is no need for handling of hydrocarbons during OBD. On the other hand, the main disadvantages of the conventional drilling (OBD) are: potential damage of the formation, potential mud loss to the formation, provides low rate of penetration through harder formations, potential for differential sticking, and potential for getting a kick in case of a section with unknown pore pressure. Recently, underbalanced drilling (UBD), and managed pressure drilling (MPD) techniques are developed </w:t>
      </w:r>
      <w:r w:rsidRPr="002D52A7">
        <w:rPr>
          <w:rFonts w:ascii="Times New Roman" w:hAnsi="Times New Roman" w:cs="Times New Roman"/>
        </w:rPr>
        <w:lastRenderedPageBreak/>
        <w:t xml:space="preserve">(see </w:t>
      </w:r>
      <w:r w:rsidR="0097693F">
        <w:rPr>
          <w:rFonts w:ascii="Times New Roman" w:hAnsi="Times New Roman" w:cs="Times New Roman"/>
        </w:rPr>
        <w:t>Fig.</w:t>
      </w:r>
      <w:r w:rsidRPr="002D52A7">
        <w:rPr>
          <w:rFonts w:ascii="Times New Roman" w:hAnsi="Times New Roman" w:cs="Times New Roman"/>
        </w:rPr>
        <w:t xml:space="preserve"> 1).  The size of the operational margin for UBD or OBD mainly depends on the formation strength.</w:t>
      </w:r>
    </w:p>
    <w:p w:rsidR="002D52A7" w:rsidRDefault="002D52A7" w:rsidP="00662F0B">
      <w:pPr>
        <w:spacing w:after="0" w:line="240" w:lineRule="exact"/>
        <w:jc w:val="both"/>
        <w:rPr>
          <w:rFonts w:ascii="Times New Roman" w:eastAsia="PMingLiU" w:hAnsi="Times New Roman" w:cs="Times New Roman"/>
          <w:lang w:eastAsia="zh-TW"/>
        </w:rPr>
      </w:pPr>
    </w:p>
    <w:p w:rsidR="002D52A7" w:rsidRDefault="002D52A7" w:rsidP="00662F0B">
      <w:pPr>
        <w:spacing w:after="0" w:line="240" w:lineRule="exact"/>
        <w:jc w:val="both"/>
        <w:rPr>
          <w:rFonts w:ascii="Times New Roman" w:eastAsia="PMingLiU" w:hAnsi="Times New Roman" w:cs="Times New Roman"/>
          <w:lang w:eastAsia="zh-TW"/>
        </w:rPr>
      </w:pPr>
    </w:p>
    <w:p w:rsidR="002D52A7" w:rsidRDefault="002D52A7" w:rsidP="002D52A7">
      <w:pPr>
        <w:autoSpaceDE w:val="0"/>
        <w:autoSpaceDN w:val="0"/>
        <w:adjustRightInd w:val="0"/>
        <w:spacing w:after="0" w:line="240" w:lineRule="auto"/>
        <w:jc w:val="center"/>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en-US"/>
        </w:rPr>
        <w:drawing>
          <wp:inline distT="0" distB="0" distL="0" distR="0" wp14:anchorId="7CF01AF8" wp14:editId="22479541">
            <wp:extent cx="2817963" cy="2113472"/>
            <wp:effectExtent l="19050" t="19050" r="20955"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2819256" cy="2114442"/>
                    </a:xfrm>
                    <a:prstGeom prst="rect">
                      <a:avLst/>
                    </a:prstGeom>
                    <a:ln w="19050">
                      <a:solidFill>
                        <a:schemeClr val="tx1"/>
                      </a:solidFill>
                    </a:ln>
                  </pic:spPr>
                </pic:pic>
              </a:graphicData>
            </a:graphic>
          </wp:inline>
        </w:drawing>
      </w:r>
    </w:p>
    <w:p w:rsidR="002D52A7" w:rsidRPr="002D52A7" w:rsidRDefault="002D52A7" w:rsidP="008B4E34">
      <w:pPr>
        <w:spacing w:after="0" w:line="240" w:lineRule="exact"/>
        <w:jc w:val="center"/>
        <w:rPr>
          <w:rFonts w:ascii="Times New Roman" w:hAnsi="Times New Roman" w:cs="Times New Roman"/>
        </w:rPr>
      </w:pPr>
      <w:r>
        <w:rPr>
          <w:rFonts w:ascii="Times New Roman" w:hAnsi="Times New Roman" w:cs="Times New Roman"/>
        </w:rPr>
        <w:t>Fig.</w:t>
      </w:r>
      <w:r w:rsidRPr="002D52A7">
        <w:rPr>
          <w:rFonts w:ascii="Times New Roman" w:hAnsi="Times New Roman" w:cs="Times New Roman"/>
        </w:rPr>
        <w:t xml:space="preserve"> 1 Drilling </w:t>
      </w:r>
      <w:r w:rsidR="008B4E34">
        <w:rPr>
          <w:rFonts w:ascii="Times New Roman" w:hAnsi="Times New Roman" w:cs="Times New Roman"/>
        </w:rPr>
        <w:t>w</w:t>
      </w:r>
      <w:r w:rsidRPr="002D52A7">
        <w:rPr>
          <w:rFonts w:ascii="Times New Roman" w:hAnsi="Times New Roman" w:cs="Times New Roman"/>
        </w:rPr>
        <w:t xml:space="preserve">indows for </w:t>
      </w:r>
      <w:r w:rsidR="008B4E34">
        <w:rPr>
          <w:rFonts w:ascii="Times New Roman" w:hAnsi="Times New Roman" w:cs="Times New Roman"/>
        </w:rPr>
        <w:t>v</w:t>
      </w:r>
      <w:r w:rsidRPr="002D52A7">
        <w:rPr>
          <w:rFonts w:ascii="Times New Roman" w:hAnsi="Times New Roman" w:cs="Times New Roman"/>
        </w:rPr>
        <w:t xml:space="preserve">arious </w:t>
      </w:r>
      <w:r w:rsidR="008B4E34">
        <w:rPr>
          <w:rFonts w:ascii="Times New Roman" w:hAnsi="Times New Roman" w:cs="Times New Roman"/>
        </w:rPr>
        <w:t>t</w:t>
      </w:r>
      <w:r w:rsidRPr="002D52A7">
        <w:rPr>
          <w:rFonts w:ascii="Times New Roman" w:hAnsi="Times New Roman" w:cs="Times New Roman"/>
        </w:rPr>
        <w:t xml:space="preserve">ypes of </w:t>
      </w:r>
      <w:r w:rsidR="008B4E34">
        <w:rPr>
          <w:rFonts w:ascii="Times New Roman" w:hAnsi="Times New Roman" w:cs="Times New Roman"/>
        </w:rPr>
        <w:t>d</w:t>
      </w:r>
      <w:r w:rsidRPr="002D52A7">
        <w:rPr>
          <w:rFonts w:ascii="Times New Roman" w:hAnsi="Times New Roman" w:cs="Times New Roman"/>
        </w:rPr>
        <w:t xml:space="preserve">rilling </w:t>
      </w:r>
      <w:r w:rsidR="008B4E34">
        <w:rPr>
          <w:rFonts w:ascii="Times New Roman" w:hAnsi="Times New Roman" w:cs="Times New Roman"/>
        </w:rPr>
        <w:t>o</w:t>
      </w:r>
      <w:r w:rsidRPr="002D52A7">
        <w:rPr>
          <w:rFonts w:ascii="Times New Roman" w:hAnsi="Times New Roman" w:cs="Times New Roman"/>
        </w:rPr>
        <w:t>perations</w:t>
      </w:r>
    </w:p>
    <w:p w:rsidR="002D52A7" w:rsidRDefault="002D52A7" w:rsidP="002D52A7">
      <w:pPr>
        <w:spacing w:after="0" w:line="240" w:lineRule="exact"/>
        <w:ind w:firstLine="289"/>
        <w:jc w:val="both"/>
        <w:rPr>
          <w:rFonts w:ascii="Times New Roman" w:hAnsi="Times New Roman" w:cs="Times New Roman"/>
        </w:rPr>
      </w:pPr>
    </w:p>
    <w:p w:rsidR="002D52A7" w:rsidRPr="002D52A7" w:rsidRDefault="002D52A7" w:rsidP="00021100">
      <w:pPr>
        <w:spacing w:after="0" w:line="240" w:lineRule="exact"/>
        <w:ind w:firstLine="289"/>
        <w:jc w:val="both"/>
        <w:rPr>
          <w:rFonts w:ascii="Times New Roman" w:hAnsi="Times New Roman" w:cs="Times New Roman"/>
        </w:rPr>
      </w:pPr>
      <w:r w:rsidRPr="002D52A7">
        <w:rPr>
          <w:rFonts w:ascii="Times New Roman" w:hAnsi="Times New Roman" w:cs="Times New Roman"/>
        </w:rPr>
        <w:t xml:space="preserve">Managed pressure drilling (MPD) is an adaptive drilling process to precisely control the annular pressure profile throughout the </w:t>
      </w:r>
      <w:r w:rsidRPr="00756E38">
        <w:rPr>
          <w:rFonts w:ascii="Times New Roman" w:hAnsi="Times New Roman" w:cs="Times New Roman"/>
        </w:rPr>
        <w:t>wellbore</w:t>
      </w:r>
      <w:r w:rsidR="00721404" w:rsidRPr="00756E38">
        <w:rPr>
          <w:rFonts w:ascii="Times New Roman" w:hAnsi="Times New Roman" w:cs="Times New Roman"/>
        </w:rPr>
        <w:t xml:space="preserve"> (</w:t>
      </w:r>
      <w:r w:rsidR="00756E38">
        <w:rPr>
          <w:rFonts w:ascii="Times New Roman" w:hAnsi="Times New Roman" w:cs="Times New Roman"/>
        </w:rPr>
        <w:t>Philip</w:t>
      </w:r>
      <w:r w:rsidR="00721404" w:rsidRPr="00756E38">
        <w:rPr>
          <w:rFonts w:ascii="Times New Roman" w:hAnsi="Times New Roman" w:cs="Times New Roman"/>
        </w:rPr>
        <w:t>, 2006)</w:t>
      </w:r>
      <w:r w:rsidRPr="00756E38">
        <w:rPr>
          <w:rFonts w:ascii="Times New Roman" w:hAnsi="Times New Roman" w:cs="Times New Roman"/>
        </w:rPr>
        <w:t xml:space="preserve">.  </w:t>
      </w:r>
      <w:r w:rsidRPr="002D52A7">
        <w:rPr>
          <w:rFonts w:ascii="Times New Roman" w:hAnsi="Times New Roman" w:cs="Times New Roman"/>
        </w:rPr>
        <w:t xml:space="preserve">MPD normally avoids the flow of the formation fluids into the wellbore and control, reduce drilling cost, and increase safety.  </w:t>
      </w:r>
      <w:r w:rsidRPr="00021100">
        <w:rPr>
          <w:rFonts w:ascii="Times New Roman" w:hAnsi="Times New Roman" w:cs="Times New Roman"/>
        </w:rPr>
        <w:t xml:space="preserve">Both </w:t>
      </w:r>
      <w:r w:rsidR="00021100" w:rsidRPr="00021100">
        <w:rPr>
          <w:rFonts w:ascii="Times New Roman" w:hAnsi="Times New Roman" w:cs="Times New Roman"/>
        </w:rPr>
        <w:t xml:space="preserve">UBD and MPD </w:t>
      </w:r>
      <w:r w:rsidRPr="00021100">
        <w:rPr>
          <w:rFonts w:ascii="Times New Roman" w:hAnsi="Times New Roman" w:cs="Times New Roman"/>
        </w:rPr>
        <w:t>techniques employ a closed pressure-controlled system, making them ideal for pressure control.</w:t>
      </w:r>
      <w:r w:rsidR="00425BAA">
        <w:rPr>
          <w:rFonts w:ascii="Times New Roman" w:hAnsi="Times New Roman" w:cs="Times New Roman"/>
        </w:rPr>
        <w:t xml:space="preserve"> </w:t>
      </w:r>
      <w:r w:rsidRPr="002D52A7">
        <w:rPr>
          <w:rFonts w:ascii="Times New Roman" w:hAnsi="Times New Roman" w:cs="Times New Roman"/>
        </w:rPr>
        <w:t>Managed Pressure Drilling (MPD) is a drilling tool that is increasingly being recognized by operators and regulators as it is able to enhance safety, efficiency and lower cost. MPD aims to resolve long-lasting drilling problems that contribute to non-productive time such as well instability, stuck pipe, lost circulation, and well control incidents.  MPD is drilling with a controlled annulus and controlled returns to surface using an equivalent mud weight that is maintained at, or marginally above, formation pressure by manipulation of a dedicated choke device or other method. The key point is that reservoir fluid is not intended to reach the surface.</w:t>
      </w:r>
      <w:r w:rsidR="00425BAA">
        <w:rPr>
          <w:rFonts w:ascii="Times New Roman" w:hAnsi="Times New Roman" w:cs="Times New Roman"/>
        </w:rPr>
        <w:t xml:space="preserve"> </w:t>
      </w:r>
      <w:r w:rsidRPr="002D52A7">
        <w:rPr>
          <w:rFonts w:ascii="Times New Roman" w:hAnsi="Times New Roman" w:cs="Times New Roman"/>
        </w:rPr>
        <w:t xml:space="preserve">The main advantages of </w:t>
      </w:r>
      <w:r w:rsidR="00021100">
        <w:rPr>
          <w:rFonts w:ascii="Times New Roman" w:hAnsi="Times New Roman" w:cs="Times New Roman"/>
        </w:rPr>
        <w:t>managed pressure</w:t>
      </w:r>
      <w:r w:rsidRPr="002D52A7">
        <w:rPr>
          <w:rFonts w:ascii="Times New Roman" w:hAnsi="Times New Roman" w:cs="Times New Roman"/>
        </w:rPr>
        <w:t xml:space="preserve"> drilling (MPD) are: it improves rate of penetration (ROP), extends bit life, minimizes drillstring differential sticking,</w:t>
      </w:r>
      <w:r w:rsidR="00021100">
        <w:rPr>
          <w:rFonts w:ascii="Times New Roman" w:hAnsi="Times New Roman" w:cs="Times New Roman"/>
        </w:rPr>
        <w:t xml:space="preserve"> minimizes lost circulation,</w:t>
      </w:r>
      <w:r w:rsidRPr="002D52A7">
        <w:rPr>
          <w:rFonts w:ascii="Times New Roman" w:hAnsi="Times New Roman" w:cs="Times New Roman"/>
        </w:rPr>
        <w:t xml:space="preserve"> reduces the number of casing strings required to access the target</w:t>
      </w:r>
      <w:r w:rsidR="00021100">
        <w:rPr>
          <w:rFonts w:ascii="Times New Roman" w:hAnsi="Times New Roman" w:cs="Times New Roman"/>
        </w:rPr>
        <w:t>,</w:t>
      </w:r>
      <w:r w:rsidR="00021100" w:rsidRPr="00021100">
        <w:rPr>
          <w:rFonts w:ascii="Times New Roman" w:hAnsi="Times New Roman" w:cs="Times New Roman"/>
        </w:rPr>
        <w:t xml:space="preserve"> </w:t>
      </w:r>
      <w:r w:rsidR="00021100" w:rsidRPr="002D52A7">
        <w:rPr>
          <w:rFonts w:ascii="Times New Roman" w:hAnsi="Times New Roman" w:cs="Times New Roman"/>
        </w:rPr>
        <w:t xml:space="preserve">requires a simpler equipment package to satisfy safety considerations for the well, </w:t>
      </w:r>
      <w:r w:rsidR="00021100">
        <w:rPr>
          <w:rFonts w:ascii="Times New Roman" w:hAnsi="Times New Roman" w:cs="Times New Roman"/>
        </w:rPr>
        <w:t xml:space="preserve">and </w:t>
      </w:r>
      <w:r w:rsidR="00021100" w:rsidRPr="002D52A7">
        <w:rPr>
          <w:rFonts w:ascii="Times New Roman" w:hAnsi="Times New Roman" w:cs="Times New Roman"/>
        </w:rPr>
        <w:t>reducing</w:t>
      </w:r>
      <w:r w:rsidR="00021100">
        <w:rPr>
          <w:rFonts w:ascii="Times New Roman" w:hAnsi="Times New Roman" w:cs="Times New Roman"/>
        </w:rPr>
        <w:t xml:space="preserve"> the day rate compared with UBD</w:t>
      </w:r>
      <w:r w:rsidRPr="002D52A7">
        <w:rPr>
          <w:rFonts w:ascii="Times New Roman" w:hAnsi="Times New Roman" w:cs="Times New Roman"/>
        </w:rPr>
        <w:t xml:space="preserve">.  </w:t>
      </w:r>
      <w:r w:rsidR="00021100">
        <w:rPr>
          <w:rFonts w:ascii="Times New Roman" w:hAnsi="Times New Roman" w:cs="Times New Roman"/>
        </w:rPr>
        <w:t>In the other hand, t</w:t>
      </w:r>
      <w:r w:rsidRPr="002D52A7">
        <w:rPr>
          <w:rFonts w:ascii="Times New Roman" w:hAnsi="Times New Roman" w:cs="Times New Roman"/>
        </w:rPr>
        <w:t xml:space="preserve">he main disadvantages of the </w:t>
      </w:r>
      <w:r w:rsidR="00021100">
        <w:rPr>
          <w:rFonts w:ascii="Times New Roman" w:hAnsi="Times New Roman" w:cs="Times New Roman"/>
        </w:rPr>
        <w:t>managed pressure</w:t>
      </w:r>
      <w:r w:rsidRPr="002D52A7">
        <w:rPr>
          <w:rFonts w:ascii="Times New Roman" w:hAnsi="Times New Roman" w:cs="Times New Roman"/>
        </w:rPr>
        <w:t xml:space="preserve"> drilling (MPD) are: </w:t>
      </w:r>
      <w:r w:rsidR="00021100">
        <w:rPr>
          <w:rFonts w:ascii="Times New Roman" w:hAnsi="Times New Roman" w:cs="Times New Roman"/>
        </w:rPr>
        <w:t>may not</w:t>
      </w:r>
      <w:r w:rsidRPr="002D52A7">
        <w:rPr>
          <w:rFonts w:ascii="Times New Roman" w:hAnsi="Times New Roman" w:cs="Times New Roman"/>
        </w:rPr>
        <w:t xml:space="preserve"> </w:t>
      </w:r>
      <w:r w:rsidR="00021100">
        <w:rPr>
          <w:rFonts w:ascii="Times New Roman" w:hAnsi="Times New Roman" w:cs="Times New Roman"/>
        </w:rPr>
        <w:t xml:space="preserve">be </w:t>
      </w:r>
      <w:r w:rsidRPr="002D52A7">
        <w:rPr>
          <w:rFonts w:ascii="Times New Roman" w:hAnsi="Times New Roman" w:cs="Times New Roman"/>
        </w:rPr>
        <w:t>capable of solving the problems encountered, such as when fracture pressure</w:t>
      </w:r>
      <w:r w:rsidR="00021100">
        <w:rPr>
          <w:rFonts w:ascii="Times New Roman" w:hAnsi="Times New Roman" w:cs="Times New Roman"/>
        </w:rPr>
        <w:t xml:space="preserve"> is too close to pore pressure and </w:t>
      </w:r>
      <w:r w:rsidRPr="002D52A7">
        <w:rPr>
          <w:rFonts w:ascii="Times New Roman" w:hAnsi="Times New Roman" w:cs="Times New Roman"/>
        </w:rPr>
        <w:t>when variations occur in pore and fracture pressures in different intervals within the same open hole.</w:t>
      </w:r>
      <w:r w:rsidR="00425BAA">
        <w:rPr>
          <w:rFonts w:ascii="Times New Roman" w:hAnsi="Times New Roman" w:cs="Times New Roman"/>
        </w:rPr>
        <w:t xml:space="preserve"> </w:t>
      </w:r>
      <w:r w:rsidRPr="002D52A7">
        <w:rPr>
          <w:rFonts w:ascii="Times New Roman" w:hAnsi="Times New Roman" w:cs="Times New Roman"/>
        </w:rPr>
        <w:t>The third possible drilling operation is the underbalanced drilling (UBD).  UBD is a procedure to drill oil and gas wells where the pressure in the wellbore is kept lower than the pressure of the fluid in the format</w:t>
      </w:r>
      <w:r w:rsidR="00425BAA">
        <w:rPr>
          <w:rFonts w:ascii="Times New Roman" w:hAnsi="Times New Roman" w:cs="Times New Roman"/>
        </w:rPr>
        <w:t xml:space="preserve">ion (reservoir) being drilled. </w:t>
      </w:r>
      <w:r w:rsidRPr="002D52A7">
        <w:rPr>
          <w:rFonts w:ascii="Times New Roman" w:hAnsi="Times New Roman" w:cs="Times New Roman"/>
        </w:rPr>
        <w:t>In UBD, formation fluid flows into the wellbore and up to the surface. The major advantages of UBD are reducing formation damage in the reservoir, caused by mud solids and liquids invasion and shale swelling, maximizing hydrocarbon production, minimizing lost circulation, increasing drilling rates with certain rock types, extending bit life, reducing rock chip hold own, and minimizing the need for well stimulation. The disadvantages of the underbalanced drilling technique (UBD) are as follows:</w:t>
      </w:r>
      <w:r w:rsidR="00425BAA">
        <w:rPr>
          <w:rFonts w:ascii="Times New Roman" w:hAnsi="Times New Roman" w:cs="Times New Roman"/>
        </w:rPr>
        <w:t xml:space="preserve"> </w:t>
      </w:r>
      <w:r w:rsidR="00021100">
        <w:rPr>
          <w:rFonts w:ascii="Times New Roman" w:hAnsi="Times New Roman" w:cs="Times New Roman"/>
        </w:rPr>
        <w:t>w</w:t>
      </w:r>
      <w:r w:rsidRPr="002D52A7">
        <w:rPr>
          <w:rFonts w:ascii="Times New Roman" w:hAnsi="Times New Roman" w:cs="Times New Roman"/>
        </w:rPr>
        <w:t>ell instability, well control issues, and detection of kick need to be considered when choosing to</w:t>
      </w:r>
      <w:r w:rsidR="00425BAA">
        <w:rPr>
          <w:rFonts w:ascii="Times New Roman" w:hAnsi="Times New Roman" w:cs="Times New Roman"/>
        </w:rPr>
        <w:t xml:space="preserve"> utilize underbalanced drilling, </w:t>
      </w:r>
      <w:r w:rsidR="00021100">
        <w:rPr>
          <w:rFonts w:ascii="Times New Roman" w:hAnsi="Times New Roman" w:cs="Times New Roman"/>
        </w:rPr>
        <w:t>d</w:t>
      </w:r>
      <w:r w:rsidRPr="002D52A7">
        <w:rPr>
          <w:rFonts w:ascii="Times New Roman" w:hAnsi="Times New Roman" w:cs="Times New Roman"/>
        </w:rPr>
        <w:t>rillstring vibra</w:t>
      </w:r>
      <w:r w:rsidR="00425BAA">
        <w:rPr>
          <w:rFonts w:ascii="Times New Roman" w:hAnsi="Times New Roman" w:cs="Times New Roman"/>
        </w:rPr>
        <w:t xml:space="preserve">tions are often more pronounced, </w:t>
      </w:r>
      <w:r w:rsidRPr="002D52A7">
        <w:rPr>
          <w:rFonts w:ascii="Times New Roman" w:hAnsi="Times New Roman" w:cs="Times New Roman"/>
        </w:rPr>
        <w:t>Higher drag</w:t>
      </w:r>
      <w:r w:rsidR="00425BAA">
        <w:rPr>
          <w:rFonts w:ascii="Times New Roman" w:hAnsi="Times New Roman" w:cs="Times New Roman"/>
        </w:rPr>
        <w:t xml:space="preserve"> and torque will be experienced, </w:t>
      </w:r>
      <w:r w:rsidR="00021100">
        <w:rPr>
          <w:rFonts w:ascii="Times New Roman" w:hAnsi="Times New Roman" w:cs="Times New Roman"/>
        </w:rPr>
        <w:t>s</w:t>
      </w:r>
      <w:r w:rsidRPr="002D52A7">
        <w:rPr>
          <w:rFonts w:ascii="Times New Roman" w:hAnsi="Times New Roman" w:cs="Times New Roman"/>
        </w:rPr>
        <w:t>urface cleaning equipment must be made available and may have to accommodate a complex</w:t>
      </w:r>
      <w:r w:rsidR="00425BAA">
        <w:rPr>
          <w:rFonts w:ascii="Times New Roman" w:hAnsi="Times New Roman" w:cs="Times New Roman"/>
        </w:rPr>
        <w:t xml:space="preserve"> mixture of fluids and cuttings, </w:t>
      </w:r>
      <w:r w:rsidR="00021100">
        <w:rPr>
          <w:rFonts w:ascii="Times New Roman" w:hAnsi="Times New Roman" w:cs="Times New Roman"/>
        </w:rPr>
        <w:t>a</w:t>
      </w:r>
      <w:r w:rsidRPr="002D52A7">
        <w:rPr>
          <w:rFonts w:ascii="Times New Roman" w:hAnsi="Times New Roman" w:cs="Times New Roman"/>
        </w:rPr>
        <w:t>eration of drilling fluids can create a</w:t>
      </w:r>
      <w:r w:rsidR="00425BAA">
        <w:rPr>
          <w:rFonts w:ascii="Times New Roman" w:hAnsi="Times New Roman" w:cs="Times New Roman"/>
        </w:rPr>
        <w:t xml:space="preserve"> </w:t>
      </w:r>
      <w:r w:rsidR="00425BAA">
        <w:rPr>
          <w:rFonts w:ascii="Times New Roman" w:hAnsi="Times New Roman" w:cs="Times New Roman"/>
        </w:rPr>
        <w:lastRenderedPageBreak/>
        <w:t xml:space="preserve">complicated hydraulic profile, </w:t>
      </w:r>
      <w:r w:rsidR="00021100">
        <w:rPr>
          <w:rFonts w:ascii="Times New Roman" w:hAnsi="Times New Roman" w:cs="Times New Roman"/>
        </w:rPr>
        <w:t>c</w:t>
      </w:r>
      <w:r w:rsidRPr="002D52A7">
        <w:rPr>
          <w:rFonts w:ascii="Times New Roman" w:hAnsi="Times New Roman" w:cs="Times New Roman"/>
        </w:rPr>
        <w:t>ompressors will need to be rented, considerably inc</w:t>
      </w:r>
      <w:r w:rsidR="00425BAA">
        <w:rPr>
          <w:rFonts w:ascii="Times New Roman" w:hAnsi="Times New Roman" w:cs="Times New Roman"/>
        </w:rPr>
        <w:t xml:space="preserve">reasing the daily drilling cost, </w:t>
      </w:r>
      <w:r w:rsidRPr="002D52A7">
        <w:rPr>
          <w:rFonts w:ascii="Times New Roman" w:hAnsi="Times New Roman" w:cs="Times New Roman"/>
        </w:rPr>
        <w:t xml:space="preserve"> </w:t>
      </w:r>
      <w:r w:rsidR="00021100">
        <w:rPr>
          <w:rFonts w:ascii="Times New Roman" w:hAnsi="Times New Roman" w:cs="Times New Roman"/>
        </w:rPr>
        <w:t>a</w:t>
      </w:r>
      <w:r w:rsidRPr="002D52A7">
        <w:rPr>
          <w:rFonts w:ascii="Times New Roman" w:hAnsi="Times New Roman" w:cs="Times New Roman"/>
        </w:rPr>
        <w:t>n explosion potential exists due to the formation of hydrocarbon/oxygen mixtures and the frictiona</w:t>
      </w:r>
      <w:r w:rsidR="00425BAA">
        <w:rPr>
          <w:rFonts w:ascii="Times New Roman" w:hAnsi="Times New Roman" w:cs="Times New Roman"/>
        </w:rPr>
        <w:t xml:space="preserve">l sources of ignition downhole, and </w:t>
      </w:r>
      <w:r w:rsidRPr="002D52A7">
        <w:rPr>
          <w:rFonts w:ascii="Times New Roman" w:hAnsi="Times New Roman" w:cs="Times New Roman"/>
        </w:rPr>
        <w:t>air in contact with steel drillstring is a corrosion risk.</w:t>
      </w:r>
    </w:p>
    <w:p w:rsidR="000B76D8" w:rsidRDefault="000B76D8" w:rsidP="002D52A7">
      <w:pPr>
        <w:spacing w:after="0" w:line="240" w:lineRule="exact"/>
        <w:ind w:firstLine="289"/>
        <w:jc w:val="both"/>
        <w:rPr>
          <w:rFonts w:ascii="Times New Roman" w:hAnsi="Times New Roman" w:cs="Times New Roman"/>
        </w:rPr>
      </w:pPr>
    </w:p>
    <w:p w:rsidR="002D52A7" w:rsidRDefault="002D52A7" w:rsidP="002D52A7">
      <w:pPr>
        <w:spacing w:after="0" w:line="240" w:lineRule="exact"/>
        <w:ind w:firstLine="289"/>
        <w:jc w:val="both"/>
        <w:rPr>
          <w:rFonts w:ascii="Times New Roman" w:hAnsi="Times New Roman" w:cs="Times New Roman"/>
        </w:rPr>
      </w:pPr>
      <w:r w:rsidRPr="002D52A7">
        <w:rPr>
          <w:rFonts w:ascii="Times New Roman" w:hAnsi="Times New Roman" w:cs="Times New Roman"/>
        </w:rPr>
        <w:t>Based on the above introduction, it is clear that both MPD and UBD are candidates for drilling oil and gas bearing formations to avoid permeability damage as well as other instability problems when compared to the conventional OBD method.  MPD is normally used in infill drilling in depleted reservoirs where the borehole stability is the main concern while UBD is normally used to drill well in newly developed reservoirs when formation damage is a big concern.</w:t>
      </w:r>
    </w:p>
    <w:p w:rsidR="00E95C23" w:rsidRPr="002D52A7" w:rsidRDefault="00E95C23" w:rsidP="002D52A7">
      <w:pPr>
        <w:spacing w:after="0" w:line="240" w:lineRule="exact"/>
        <w:ind w:firstLine="289"/>
        <w:jc w:val="both"/>
        <w:rPr>
          <w:rFonts w:ascii="Times New Roman" w:hAnsi="Times New Roman" w:cs="Times New Roman"/>
        </w:rPr>
      </w:pPr>
    </w:p>
    <w:p w:rsidR="00E95C23" w:rsidRPr="00E95C23" w:rsidRDefault="00E95C23" w:rsidP="008E2EEB">
      <w:pPr>
        <w:numPr>
          <w:ilvl w:val="0"/>
          <w:numId w:val="2"/>
        </w:numPr>
        <w:tabs>
          <w:tab w:val="clear" w:pos="1009"/>
          <w:tab w:val="num" w:pos="294"/>
        </w:tabs>
        <w:spacing w:after="0" w:line="240" w:lineRule="exact"/>
        <w:ind w:left="294" w:hanging="294"/>
        <w:jc w:val="both"/>
        <w:rPr>
          <w:rFonts w:ascii="Times New Roman" w:hAnsi="Times New Roman" w:cs="Times New Roman"/>
          <w:b/>
          <w:bCs/>
          <w:lang w:eastAsia="ko-KR"/>
        </w:rPr>
      </w:pPr>
      <w:r w:rsidRPr="00E95C23">
        <w:rPr>
          <w:rFonts w:ascii="Times New Roman" w:hAnsi="Times New Roman" w:cs="Times New Roman"/>
          <w:b/>
          <w:bCs/>
          <w:lang w:eastAsia="ko-KR"/>
        </w:rPr>
        <w:t xml:space="preserve">Objective </w:t>
      </w:r>
      <w:r w:rsidR="008E2EEB">
        <w:rPr>
          <w:rFonts w:ascii="Times New Roman" w:hAnsi="Times New Roman" w:cs="Times New Roman"/>
          <w:b/>
          <w:bCs/>
          <w:lang w:eastAsia="ko-KR"/>
        </w:rPr>
        <w:t>o</w:t>
      </w:r>
      <w:r w:rsidRPr="00E95C23">
        <w:rPr>
          <w:rFonts w:ascii="Times New Roman" w:hAnsi="Times New Roman" w:cs="Times New Roman"/>
          <w:b/>
          <w:bCs/>
          <w:lang w:eastAsia="ko-KR"/>
        </w:rPr>
        <w:t>f The Study</w:t>
      </w:r>
    </w:p>
    <w:p w:rsidR="00E95C23" w:rsidRDefault="00E95C23" w:rsidP="00E95C23">
      <w:pPr>
        <w:spacing w:after="0" w:line="240" w:lineRule="exact"/>
        <w:ind w:firstLine="289"/>
        <w:jc w:val="both"/>
        <w:rPr>
          <w:rFonts w:ascii="Times New Roman" w:hAnsi="Times New Roman" w:cs="Times New Roman"/>
        </w:rPr>
      </w:pPr>
      <w:r w:rsidRPr="00E95C23">
        <w:rPr>
          <w:rFonts w:ascii="Times New Roman" w:hAnsi="Times New Roman" w:cs="Times New Roman"/>
        </w:rPr>
        <w:t>The objective of this work is to elaborate a mathematical model able to predict the wellbore pressure drop, balance, and overbalance (</w:t>
      </w:r>
      <w:r w:rsidRPr="00E95C23">
        <w:rPr>
          <w:rFonts w:ascii="Symbol" w:hAnsi="Symbol" w:cs="Times New Roman"/>
        </w:rPr>
        <w:t></w:t>
      </w:r>
      <w:r w:rsidRPr="00E95C23">
        <w:rPr>
          <w:rFonts w:ascii="Times New Roman" w:hAnsi="Times New Roman" w:cs="Times New Roman"/>
        </w:rPr>
        <w:t>P</w:t>
      </w:r>
      <w:r w:rsidRPr="008E2EEB">
        <w:rPr>
          <w:rFonts w:ascii="Times New Roman" w:hAnsi="Times New Roman" w:cs="Times New Roman"/>
          <w:vertAlign w:val="subscript"/>
        </w:rPr>
        <w:t>w</w:t>
      </w:r>
      <w:r w:rsidRPr="00E95C23">
        <w:rPr>
          <w:rFonts w:ascii="Times New Roman" w:hAnsi="Times New Roman" w:cs="Times New Roman"/>
        </w:rPr>
        <w:t>) required for safe UBD, MPD, or OBD respectively based on rock mechanics principles and the laboratory characterization of representative core samples.</w:t>
      </w:r>
    </w:p>
    <w:p w:rsidR="00E95C23" w:rsidRPr="00E95C23" w:rsidRDefault="00E95C23" w:rsidP="00E95C23">
      <w:pPr>
        <w:spacing w:after="0" w:line="240" w:lineRule="exact"/>
        <w:ind w:firstLine="289"/>
        <w:jc w:val="both"/>
        <w:rPr>
          <w:rFonts w:ascii="Times New Roman" w:hAnsi="Times New Roman" w:cs="Times New Roman"/>
        </w:rPr>
      </w:pPr>
    </w:p>
    <w:p w:rsidR="00E95C23" w:rsidRPr="00E95C23" w:rsidRDefault="00E95C23" w:rsidP="00E95C23">
      <w:pPr>
        <w:numPr>
          <w:ilvl w:val="0"/>
          <w:numId w:val="2"/>
        </w:numPr>
        <w:tabs>
          <w:tab w:val="clear" w:pos="1009"/>
          <w:tab w:val="num" w:pos="294"/>
        </w:tabs>
        <w:spacing w:after="0" w:line="240" w:lineRule="exact"/>
        <w:ind w:left="294" w:hanging="294"/>
        <w:jc w:val="both"/>
        <w:rPr>
          <w:rFonts w:ascii="Times New Roman" w:hAnsi="Times New Roman" w:cs="Times New Roman"/>
          <w:b/>
          <w:bCs/>
          <w:lang w:eastAsia="ko-KR"/>
        </w:rPr>
      </w:pPr>
      <w:r w:rsidRPr="00E95C23">
        <w:rPr>
          <w:rFonts w:ascii="Times New Roman" w:hAnsi="Times New Roman" w:cs="Times New Roman"/>
          <w:b/>
          <w:bCs/>
          <w:lang w:eastAsia="ko-KR"/>
        </w:rPr>
        <w:t>The Mathematical Model</w:t>
      </w:r>
    </w:p>
    <w:p w:rsidR="00E95C23" w:rsidRDefault="00E95C23" w:rsidP="00756E38">
      <w:pPr>
        <w:spacing w:after="0" w:line="240" w:lineRule="exact"/>
        <w:ind w:firstLine="289"/>
        <w:jc w:val="both"/>
        <w:rPr>
          <w:rFonts w:ascii="Times New Roman" w:hAnsi="Times New Roman" w:cs="Times New Roman"/>
        </w:rPr>
      </w:pPr>
      <w:r w:rsidRPr="00E95C23">
        <w:rPr>
          <w:rFonts w:ascii="Times New Roman" w:hAnsi="Times New Roman" w:cs="Times New Roman"/>
        </w:rPr>
        <w:t>Rock mechanics principles are used to solve many problems facing the oil industry such as sand production, wellbore instability, hydraulic fracturing, etc</w:t>
      </w:r>
      <w:r w:rsidRPr="00756E38">
        <w:rPr>
          <w:rFonts w:ascii="Times New Roman" w:hAnsi="Times New Roman" w:cs="Times New Roman"/>
        </w:rPr>
        <w:t xml:space="preserve">. </w:t>
      </w:r>
      <w:r w:rsidR="00721404" w:rsidRPr="00756E38">
        <w:rPr>
          <w:rFonts w:ascii="Times New Roman" w:hAnsi="Times New Roman" w:cs="Times New Roman"/>
        </w:rPr>
        <w:t>(Musaed, 1998</w:t>
      </w:r>
      <w:r w:rsidR="00756E38">
        <w:rPr>
          <w:rFonts w:ascii="Times New Roman" w:hAnsi="Times New Roman" w:cs="Times New Roman"/>
        </w:rPr>
        <w:t>)</w:t>
      </w:r>
      <w:r w:rsidRPr="00756E38">
        <w:rPr>
          <w:rFonts w:ascii="Times New Roman" w:hAnsi="Times New Roman" w:cs="Times New Roman"/>
        </w:rPr>
        <w:t xml:space="preserve">.  </w:t>
      </w:r>
      <w:r w:rsidRPr="00E95C23">
        <w:rPr>
          <w:rFonts w:ascii="Times New Roman" w:hAnsi="Times New Roman" w:cs="Times New Roman"/>
        </w:rPr>
        <w:t>In this work a mathematical model based on rock mechanics principals is elaborated to predict wellbore pressure required for safe underbalanced or overbalanced drilling processes.  This model combines in-situ principal stresses, well inclination, well orientation, formation strength criteria and formation physical properties.  Formation rock failure criteria are evaluated usi</w:t>
      </w:r>
      <w:r w:rsidR="00721404">
        <w:rPr>
          <w:rFonts w:ascii="Times New Roman" w:hAnsi="Times New Roman" w:cs="Times New Roman"/>
        </w:rPr>
        <w:t>ng Mohr-Coulomb failure criterion</w:t>
      </w:r>
      <w:r w:rsidRPr="00E95C23">
        <w:rPr>
          <w:rFonts w:ascii="Times New Roman" w:hAnsi="Times New Roman" w:cs="Times New Roman"/>
        </w:rPr>
        <w:t xml:space="preserve"> which is one of the most famous and applied rock failure criteria</w:t>
      </w:r>
      <w:r w:rsidR="00721404">
        <w:rPr>
          <w:rFonts w:ascii="Times New Roman" w:hAnsi="Times New Roman" w:cs="Times New Roman"/>
        </w:rPr>
        <w:t xml:space="preserve"> </w:t>
      </w:r>
      <w:r w:rsidR="00721404" w:rsidRPr="00756E38">
        <w:rPr>
          <w:rFonts w:ascii="Times New Roman" w:hAnsi="Times New Roman" w:cs="Times New Roman"/>
        </w:rPr>
        <w:t>(Fjaer et al</w:t>
      </w:r>
      <w:r w:rsidR="00756E38">
        <w:rPr>
          <w:rFonts w:ascii="Times New Roman" w:hAnsi="Times New Roman" w:cs="Times New Roman"/>
        </w:rPr>
        <w:t>.</w:t>
      </w:r>
      <w:r w:rsidR="00721404" w:rsidRPr="00756E38">
        <w:rPr>
          <w:rFonts w:ascii="Times New Roman" w:hAnsi="Times New Roman" w:cs="Times New Roman"/>
        </w:rPr>
        <w:t>, 1992)</w:t>
      </w:r>
      <w:r w:rsidRPr="00756E38">
        <w:rPr>
          <w:rFonts w:ascii="Times New Roman" w:hAnsi="Times New Roman" w:cs="Times New Roman"/>
        </w:rPr>
        <w:t xml:space="preserve">.  </w:t>
      </w:r>
      <w:r w:rsidRPr="00E95C23">
        <w:rPr>
          <w:rFonts w:ascii="Times New Roman" w:hAnsi="Times New Roman" w:cs="Times New Roman"/>
        </w:rPr>
        <w:t xml:space="preserve">This criterion is </w:t>
      </w:r>
      <w:r w:rsidR="003506D0">
        <w:rPr>
          <w:rFonts w:ascii="Times New Roman" w:hAnsi="Times New Roman" w:cs="Times New Roman"/>
        </w:rPr>
        <w:t>shown in Eq. (1)</w:t>
      </w:r>
      <w:r w:rsidRPr="00E95C23">
        <w:rPr>
          <w:rFonts w:ascii="Times New Roman" w:hAnsi="Times New Roman" w:cs="Times New Roman"/>
        </w:rPr>
        <w:t>:</w:t>
      </w:r>
    </w:p>
    <w:p w:rsidR="00425BAA" w:rsidRDefault="00425BAA" w:rsidP="00756E38">
      <w:pPr>
        <w:spacing w:after="0" w:line="240" w:lineRule="exact"/>
        <w:ind w:firstLine="289"/>
        <w:jc w:val="both"/>
        <w:rPr>
          <w:rFonts w:ascii="Times New Roman" w:hAnsi="Times New Roman" w:cs="Times New Roman"/>
        </w:rPr>
      </w:pPr>
    </w:p>
    <w:p w:rsidR="00E95C23" w:rsidRPr="00E95C23" w:rsidRDefault="00607D6D" w:rsidP="0097693F">
      <w:pPr>
        <w:pStyle w:val="ListParagraph"/>
        <w:spacing w:after="0" w:line="240" w:lineRule="auto"/>
        <w:ind w:leftChars="0" w:left="1009"/>
        <w:jc w:val="right"/>
        <w:rPr>
          <w:sz w:val="24"/>
          <w:szCs w:val="28"/>
        </w:rPr>
      </w:pPr>
      <w:r w:rsidRPr="00607D6D">
        <w:rPr>
          <w:position w:val="-16"/>
        </w:rPr>
        <w:object w:dxaOrig="1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pt" o:ole="">
            <v:imagedata r:id="rId9" o:title=""/>
          </v:shape>
          <o:OLEObject Type="Embed" ProgID="Equation.3" ShapeID="_x0000_i1025" DrawAspect="Content" ObjectID="_1532632662" r:id="rId10"/>
        </w:object>
      </w:r>
      <w:r w:rsidR="000C49DC">
        <w:rPr>
          <w:rFonts w:ascii="Footlight MT Light" w:hAnsi="Footlight MT Light"/>
          <w:sz w:val="24"/>
        </w:rPr>
        <w:tab/>
      </w:r>
      <w:r w:rsidR="000C49DC">
        <w:rPr>
          <w:rFonts w:ascii="Footlight MT Light" w:hAnsi="Footlight MT Light"/>
          <w:sz w:val="24"/>
        </w:rPr>
        <w:tab/>
        <w:t xml:space="preserve">  </w:t>
      </w:r>
      <w:r w:rsidR="00E95C23" w:rsidRPr="000311FC">
        <w:rPr>
          <w:rFonts w:ascii="Times New Roman" w:eastAsia="PMingLiU" w:hAnsi="Times New Roman" w:cs="Times New Roman"/>
          <w:lang w:eastAsia="zh-TW"/>
        </w:rPr>
        <w:t xml:space="preserve">        </w:t>
      </w:r>
      <w:r w:rsidR="000C49DC">
        <w:rPr>
          <w:rFonts w:ascii="Times New Roman" w:eastAsia="PMingLiU" w:hAnsi="Times New Roman" w:cs="Times New Roman"/>
          <w:lang w:eastAsia="zh-TW"/>
        </w:rPr>
        <w:t xml:space="preserve">  </w:t>
      </w:r>
      <w:r w:rsidR="0097693F">
        <w:rPr>
          <w:rFonts w:ascii="Times New Roman" w:eastAsia="PMingLiU" w:hAnsi="Times New Roman" w:cs="Times New Roman"/>
          <w:lang w:eastAsia="zh-TW"/>
        </w:rPr>
        <w:t xml:space="preserve">         </w:t>
      </w:r>
      <w:r w:rsidR="00E95C23" w:rsidRPr="000311FC">
        <w:rPr>
          <w:rFonts w:ascii="Times New Roman" w:eastAsia="PMingLiU" w:hAnsi="Times New Roman" w:cs="Times New Roman"/>
          <w:lang w:eastAsia="zh-TW"/>
        </w:rPr>
        <w:t>(1)</w:t>
      </w:r>
    </w:p>
    <w:p w:rsidR="00425BAA" w:rsidRDefault="00425BAA" w:rsidP="00756E38">
      <w:pPr>
        <w:spacing w:after="0" w:line="240" w:lineRule="exact"/>
        <w:ind w:firstLine="289"/>
        <w:jc w:val="both"/>
        <w:rPr>
          <w:rFonts w:ascii="Times New Roman" w:hAnsi="Times New Roman" w:cs="Times New Roman"/>
        </w:rPr>
      </w:pPr>
    </w:p>
    <w:p w:rsidR="00E95C23" w:rsidRDefault="00E95C23" w:rsidP="00756E38">
      <w:pPr>
        <w:spacing w:after="0" w:line="240" w:lineRule="exact"/>
        <w:ind w:firstLine="289"/>
        <w:jc w:val="both"/>
        <w:rPr>
          <w:rFonts w:ascii="Times New Roman" w:hAnsi="Times New Roman" w:cs="Times New Roman"/>
        </w:rPr>
      </w:pPr>
      <w:r w:rsidRPr="00E95C23">
        <w:rPr>
          <w:rFonts w:ascii="Times New Roman" w:hAnsi="Times New Roman" w:cs="Times New Roman"/>
        </w:rPr>
        <w:t xml:space="preserve">Three </w:t>
      </w:r>
      <w:r w:rsidR="00E50BC1">
        <w:rPr>
          <w:rFonts w:ascii="Times New Roman" w:hAnsi="Times New Roman" w:cs="Times New Roman"/>
        </w:rPr>
        <w:t>principal</w:t>
      </w:r>
      <w:r w:rsidRPr="00E95C23">
        <w:rPr>
          <w:rFonts w:ascii="Times New Roman" w:hAnsi="Times New Roman" w:cs="Times New Roman"/>
        </w:rPr>
        <w:t xml:space="preserve"> in-situ stresses </w:t>
      </w:r>
      <w:r w:rsidR="00E50BC1">
        <w:rPr>
          <w:rFonts w:ascii="Times New Roman" w:hAnsi="Times New Roman" w:cs="Times New Roman"/>
        </w:rPr>
        <w:t xml:space="preserve">acting deep in the earth </w:t>
      </w:r>
      <w:r w:rsidR="00756E38">
        <w:rPr>
          <w:rFonts w:ascii="Times New Roman" w:hAnsi="Times New Roman" w:cs="Times New Roman"/>
        </w:rPr>
        <w:t>are</w:t>
      </w:r>
      <w:r w:rsidRPr="00E95C23">
        <w:rPr>
          <w:rFonts w:ascii="Times New Roman" w:hAnsi="Times New Roman" w:cs="Times New Roman"/>
        </w:rPr>
        <w:t xml:space="preserve"> the vertical principal in-situ stress (</w:t>
      </w:r>
      <w:r w:rsidRPr="00756E38">
        <w:rPr>
          <w:rFonts w:ascii="Symbol" w:hAnsi="Symbol" w:cs="Times New Roman"/>
        </w:rPr>
        <w:t></w:t>
      </w:r>
      <w:r w:rsidRPr="00756E38">
        <w:rPr>
          <w:rFonts w:ascii="Times New Roman" w:hAnsi="Times New Roman" w:cs="Times New Roman"/>
          <w:vertAlign w:val="subscript"/>
        </w:rPr>
        <w:t>v</w:t>
      </w:r>
      <w:r w:rsidRPr="00E95C23">
        <w:rPr>
          <w:rFonts w:ascii="Times New Roman" w:hAnsi="Times New Roman" w:cs="Times New Roman"/>
        </w:rPr>
        <w:t>), the maximum horizontal principal in-situ stress (</w:t>
      </w:r>
      <w:r w:rsidRPr="00AA5802">
        <w:rPr>
          <w:rFonts w:ascii="Symbol" w:hAnsi="Symbol" w:cs="Times New Roman"/>
        </w:rPr>
        <w:t></w:t>
      </w:r>
      <w:r w:rsidRPr="00AA5802">
        <w:rPr>
          <w:rFonts w:ascii="Times New Roman" w:hAnsi="Times New Roman" w:cs="Times New Roman"/>
          <w:vertAlign w:val="subscript"/>
        </w:rPr>
        <w:t>H</w:t>
      </w:r>
      <w:r w:rsidRPr="00E95C23">
        <w:rPr>
          <w:rFonts w:ascii="Times New Roman" w:hAnsi="Times New Roman" w:cs="Times New Roman"/>
        </w:rPr>
        <w:t>) and the minimum horizontal principal in-situ stress (</w:t>
      </w:r>
      <w:r w:rsidRPr="00756E38">
        <w:rPr>
          <w:rFonts w:ascii="Symbol" w:hAnsi="Symbol" w:cs="Times New Roman"/>
        </w:rPr>
        <w:t></w:t>
      </w:r>
      <w:r w:rsidRPr="00756E38">
        <w:rPr>
          <w:rFonts w:ascii="Times New Roman" w:hAnsi="Times New Roman" w:cs="Times New Roman"/>
          <w:vertAlign w:val="subscript"/>
        </w:rPr>
        <w:t>h</w:t>
      </w:r>
      <w:r w:rsidRPr="00E95C23">
        <w:rPr>
          <w:rFonts w:ascii="Times New Roman" w:hAnsi="Times New Roman" w:cs="Times New Roman"/>
        </w:rPr>
        <w:t>). Wellbore instability can be predicted when these principal in-situ stresses are transformed parallel to the wellbore axis (for inclined or horizontal wells as shown in Fi</w:t>
      </w:r>
      <w:r w:rsidR="000C49DC">
        <w:rPr>
          <w:rFonts w:ascii="Times New Roman" w:hAnsi="Times New Roman" w:cs="Times New Roman"/>
        </w:rPr>
        <w:t>g.</w:t>
      </w:r>
      <w:r w:rsidRPr="00E95C23">
        <w:rPr>
          <w:rFonts w:ascii="Times New Roman" w:hAnsi="Times New Roman" w:cs="Times New Roman"/>
        </w:rPr>
        <w:t xml:space="preserve"> 2) using the following matrices </w:t>
      </w:r>
      <w:r w:rsidR="00721404" w:rsidRPr="00756E38">
        <w:rPr>
          <w:rFonts w:ascii="Times New Roman" w:hAnsi="Times New Roman" w:cs="Times New Roman"/>
        </w:rPr>
        <w:t>(Fjaer et al</w:t>
      </w:r>
      <w:r w:rsidR="00756E38" w:rsidRPr="00756E38">
        <w:rPr>
          <w:rFonts w:ascii="Times New Roman" w:hAnsi="Times New Roman" w:cs="Times New Roman"/>
        </w:rPr>
        <w:t>.</w:t>
      </w:r>
      <w:r w:rsidR="00721404" w:rsidRPr="00756E38">
        <w:rPr>
          <w:rFonts w:ascii="Times New Roman" w:hAnsi="Times New Roman" w:cs="Times New Roman"/>
        </w:rPr>
        <w:t>, 1992; Musaed, 1997)</w:t>
      </w:r>
      <w:r w:rsidRPr="00756E38">
        <w:rPr>
          <w:rFonts w:ascii="Times New Roman" w:hAnsi="Times New Roman" w:cs="Times New Roman"/>
        </w:rPr>
        <w:t>:</w:t>
      </w:r>
    </w:p>
    <w:p w:rsidR="008E2EEB" w:rsidRPr="00E95C23" w:rsidRDefault="008E2EEB" w:rsidP="00E95C23">
      <w:pPr>
        <w:spacing w:after="0" w:line="240" w:lineRule="exact"/>
        <w:ind w:firstLine="289"/>
        <w:jc w:val="both"/>
        <w:rPr>
          <w:rFonts w:ascii="Times New Roman" w:hAnsi="Times New Roman" w:cs="Times New Roman"/>
        </w:rPr>
      </w:pPr>
    </w:p>
    <w:p w:rsidR="00E95C23" w:rsidRDefault="0097693F" w:rsidP="0097693F">
      <w:pPr>
        <w:pStyle w:val="ListParagraph"/>
        <w:spacing w:after="0" w:line="240" w:lineRule="auto"/>
        <w:ind w:leftChars="0" w:left="1009"/>
        <w:jc w:val="right"/>
        <w:rPr>
          <w:rFonts w:asciiTheme="majorBidi" w:hAnsiTheme="majorBidi" w:cstheme="majorBidi"/>
        </w:rPr>
      </w:pPr>
      <w:r w:rsidRPr="000311FC">
        <w:rPr>
          <w:position w:val="-66"/>
        </w:rPr>
        <w:object w:dxaOrig="4940" w:dyaOrig="1420">
          <v:shape id="_x0000_i1026" type="#_x0000_t75" style="width:247.5pt;height:71.25pt" o:ole="" fillcolor="window">
            <v:imagedata r:id="rId11" o:title=""/>
          </v:shape>
          <o:OLEObject Type="Embed" ProgID="Equation.3" ShapeID="_x0000_i1026" DrawAspect="Content" ObjectID="_1532632663" r:id="rId12"/>
        </w:object>
      </w:r>
      <w:r w:rsidR="000311FC">
        <w:rPr>
          <w:rFonts w:ascii="Footlight MT Light" w:hAnsi="Footlight MT Light"/>
          <w:sz w:val="24"/>
        </w:rPr>
        <w:t xml:space="preserve"> </w:t>
      </w:r>
      <w:r w:rsidR="000311FC" w:rsidRPr="000311FC">
        <w:rPr>
          <w:rFonts w:asciiTheme="majorBidi" w:hAnsiTheme="majorBidi" w:cstheme="majorBidi"/>
        </w:rPr>
        <w:t xml:space="preserve"> </w:t>
      </w:r>
      <w:r w:rsidR="00E95C23" w:rsidRPr="000311FC">
        <w:rPr>
          <w:rFonts w:asciiTheme="majorBidi" w:hAnsiTheme="majorBidi" w:cstheme="majorBidi"/>
        </w:rPr>
        <w:t xml:space="preserve">  </w:t>
      </w:r>
      <w:r w:rsidR="00E95C23" w:rsidRPr="000311FC">
        <w:rPr>
          <w:rFonts w:asciiTheme="majorBidi" w:hAnsiTheme="majorBidi" w:cstheme="majorBidi"/>
        </w:rPr>
        <w:tab/>
        <w:t xml:space="preserve">    </w:t>
      </w:r>
      <w:r w:rsidR="000311FC" w:rsidRPr="000311FC">
        <w:rPr>
          <w:rFonts w:asciiTheme="majorBidi" w:hAnsiTheme="majorBidi" w:cstheme="majorBidi"/>
        </w:rPr>
        <w:t xml:space="preserve">   </w:t>
      </w:r>
      <w:r w:rsidR="00E95C23" w:rsidRPr="000311FC">
        <w:rPr>
          <w:rFonts w:asciiTheme="majorBidi" w:hAnsiTheme="majorBidi" w:cstheme="majorBidi"/>
        </w:rPr>
        <w:t xml:space="preserve"> </w:t>
      </w:r>
      <w:r>
        <w:rPr>
          <w:rFonts w:asciiTheme="majorBidi" w:hAnsiTheme="majorBidi" w:cstheme="majorBidi"/>
        </w:rPr>
        <w:t xml:space="preserve">    </w:t>
      </w:r>
      <w:r w:rsidR="00E95C23" w:rsidRPr="000311FC">
        <w:rPr>
          <w:rFonts w:asciiTheme="majorBidi" w:hAnsiTheme="majorBidi" w:cstheme="majorBidi"/>
        </w:rPr>
        <w:t>(2)</w:t>
      </w:r>
    </w:p>
    <w:p w:rsidR="00E95C23" w:rsidRPr="000311FC" w:rsidRDefault="0097693F" w:rsidP="0097693F">
      <w:pPr>
        <w:pStyle w:val="ListParagraph"/>
        <w:spacing w:after="0" w:line="240" w:lineRule="auto"/>
        <w:ind w:leftChars="0" w:left="1009"/>
        <w:jc w:val="right"/>
        <w:rPr>
          <w:rFonts w:asciiTheme="majorBidi" w:hAnsiTheme="majorBidi" w:cstheme="majorBidi"/>
        </w:rPr>
      </w:pPr>
      <w:r w:rsidRPr="0097693F">
        <w:rPr>
          <w:b/>
          <w:bCs/>
          <w:caps/>
          <w:color w:val="000000" w:themeColor="text1"/>
          <w:position w:val="-56"/>
        </w:rPr>
        <w:object w:dxaOrig="4940" w:dyaOrig="1219">
          <v:shape id="_x0000_i1027" type="#_x0000_t75" style="width:246.75pt;height:61.5pt" o:ole="" fillcolor="window">
            <v:imagedata r:id="rId13" o:title=""/>
          </v:shape>
          <o:OLEObject Type="Embed" ProgID="Equation.3" ShapeID="_x0000_i1027" DrawAspect="Content" ObjectID="_1532632664" r:id="rId14"/>
        </w:object>
      </w:r>
      <w:r w:rsidR="00E95C23" w:rsidRPr="00E95C23">
        <w:rPr>
          <w:rFonts w:ascii="Footlight MT Light" w:hAnsi="Footlight MT Light"/>
          <w:sz w:val="24"/>
        </w:rPr>
        <w:t xml:space="preserve">      </w:t>
      </w:r>
      <w:r w:rsidR="00E95C23" w:rsidRPr="00E95C23">
        <w:rPr>
          <w:sz w:val="24"/>
        </w:rPr>
        <w:t xml:space="preserve">    </w:t>
      </w:r>
      <w:r w:rsidR="00E95C23" w:rsidRPr="000311FC">
        <w:rPr>
          <w:rFonts w:ascii="Footlight MT Light" w:hAnsi="Footlight MT Light"/>
          <w:sz w:val="24"/>
        </w:rPr>
        <w:t xml:space="preserve">  </w:t>
      </w:r>
      <w:r w:rsidR="00E95C23" w:rsidRPr="000311FC">
        <w:rPr>
          <w:rFonts w:asciiTheme="majorBidi" w:hAnsiTheme="majorBidi" w:cstheme="majorBidi"/>
        </w:rPr>
        <w:t xml:space="preserve">  </w:t>
      </w:r>
      <w:r>
        <w:rPr>
          <w:rFonts w:asciiTheme="majorBidi" w:hAnsiTheme="majorBidi" w:cstheme="majorBidi"/>
        </w:rPr>
        <w:t xml:space="preserve">    </w:t>
      </w:r>
      <w:r w:rsidR="00E95C23" w:rsidRPr="000311FC">
        <w:rPr>
          <w:rFonts w:asciiTheme="majorBidi" w:hAnsiTheme="majorBidi" w:cstheme="majorBidi"/>
        </w:rPr>
        <w:t>(3)</w:t>
      </w:r>
    </w:p>
    <w:p w:rsidR="00425BAA" w:rsidRDefault="00425BAA" w:rsidP="00756E38">
      <w:pPr>
        <w:spacing w:after="0" w:line="240" w:lineRule="exact"/>
        <w:ind w:firstLine="289"/>
        <w:jc w:val="both"/>
        <w:rPr>
          <w:rFonts w:ascii="Times New Roman" w:hAnsi="Times New Roman" w:cs="Times New Roman"/>
        </w:rPr>
      </w:pPr>
    </w:p>
    <w:p w:rsidR="00E95C23" w:rsidRDefault="008F2059" w:rsidP="00756E38">
      <w:pPr>
        <w:spacing w:after="0" w:line="240" w:lineRule="exact"/>
        <w:ind w:firstLine="289"/>
        <w:jc w:val="both"/>
        <w:rPr>
          <w:rFonts w:ascii="Times New Roman" w:hAnsi="Times New Roman" w:cs="Times New Roman"/>
        </w:rPr>
      </w:pPr>
      <w:r>
        <w:rPr>
          <w:rFonts w:ascii="Times New Roman" w:hAnsi="Times New Roman" w:cs="Times New Roman"/>
        </w:rPr>
        <w:t>The drilling process generated an</w:t>
      </w:r>
      <w:r w:rsidR="00E95C23" w:rsidRPr="00E95C23">
        <w:rPr>
          <w:rFonts w:ascii="Times New Roman" w:hAnsi="Times New Roman" w:cs="Times New Roman"/>
        </w:rPr>
        <w:t xml:space="preserve"> induced stresses are acting on the wall of a borehole</w:t>
      </w:r>
      <w:r>
        <w:rPr>
          <w:rFonts w:ascii="Times New Roman" w:hAnsi="Times New Roman" w:cs="Times New Roman"/>
        </w:rPr>
        <w:t xml:space="preserve"> </w:t>
      </w:r>
      <w:r w:rsidR="00721404" w:rsidRPr="00756E38">
        <w:rPr>
          <w:rFonts w:ascii="Times New Roman" w:hAnsi="Times New Roman" w:cs="Times New Roman"/>
        </w:rPr>
        <w:t>(Jaeger, 1979)</w:t>
      </w:r>
      <w:r w:rsidR="00E95C23" w:rsidRPr="00E95C23">
        <w:rPr>
          <w:rFonts w:ascii="Times New Roman" w:hAnsi="Times New Roman" w:cs="Times New Roman"/>
        </w:rPr>
        <w:t>.  These are, the vertical induced stress (</w:t>
      </w:r>
      <w:r w:rsidR="00E95C23" w:rsidRPr="00756E38">
        <w:rPr>
          <w:rFonts w:ascii="Symbol" w:hAnsi="Symbol" w:cs="Times New Roman"/>
        </w:rPr>
        <w:t></w:t>
      </w:r>
      <w:r w:rsidR="00E95C23" w:rsidRPr="00756E38">
        <w:rPr>
          <w:rFonts w:ascii="Times New Roman" w:hAnsi="Times New Roman" w:cs="Times New Roman"/>
          <w:vertAlign w:val="subscript"/>
        </w:rPr>
        <w:t>z</w:t>
      </w:r>
      <w:r w:rsidR="00E95C23" w:rsidRPr="00E95C23">
        <w:rPr>
          <w:rFonts w:ascii="Times New Roman" w:hAnsi="Times New Roman" w:cs="Times New Roman"/>
        </w:rPr>
        <w:t>), the radial induced stress (</w:t>
      </w:r>
      <w:r w:rsidR="00E95C23" w:rsidRPr="00756E38">
        <w:rPr>
          <w:rFonts w:ascii="Symbol" w:hAnsi="Symbol" w:cs="Times New Roman"/>
        </w:rPr>
        <w:t></w:t>
      </w:r>
      <w:r w:rsidR="00E95C23" w:rsidRPr="00756E38">
        <w:rPr>
          <w:rFonts w:ascii="Times New Roman" w:hAnsi="Times New Roman" w:cs="Times New Roman"/>
          <w:vertAlign w:val="subscript"/>
        </w:rPr>
        <w:t>r</w:t>
      </w:r>
      <w:r w:rsidR="00E95C23" w:rsidRPr="00E95C23">
        <w:rPr>
          <w:rFonts w:ascii="Times New Roman" w:hAnsi="Times New Roman" w:cs="Times New Roman"/>
        </w:rPr>
        <w:t>) and the tangential induced stress (</w:t>
      </w:r>
      <w:r w:rsidR="00E95C23" w:rsidRPr="00756E38">
        <w:rPr>
          <w:rFonts w:ascii="Symbol" w:hAnsi="Symbol" w:cs="Times New Roman"/>
        </w:rPr>
        <w:t></w:t>
      </w:r>
      <w:r w:rsidR="00E95C23" w:rsidRPr="00756E38">
        <w:rPr>
          <w:rFonts w:ascii="Symbol" w:hAnsi="Symbol" w:cs="Times New Roman"/>
          <w:vertAlign w:val="subscript"/>
        </w:rPr>
        <w:t></w:t>
      </w:r>
      <w:r w:rsidR="00E95C23" w:rsidRPr="00E95C23">
        <w:rPr>
          <w:rFonts w:ascii="Times New Roman" w:hAnsi="Times New Roman" w:cs="Times New Roman"/>
        </w:rPr>
        <w:t xml:space="preserve">) which can be computed </w:t>
      </w:r>
      <w:r>
        <w:rPr>
          <w:rFonts w:ascii="Times New Roman" w:hAnsi="Times New Roman" w:cs="Times New Roman"/>
        </w:rPr>
        <w:t>using Eq. (4)</w:t>
      </w:r>
      <w:r w:rsidR="00E95C23" w:rsidRPr="00E95C23">
        <w:rPr>
          <w:rFonts w:ascii="Times New Roman" w:hAnsi="Times New Roman" w:cs="Times New Roman"/>
        </w:rPr>
        <w:t>:</w:t>
      </w:r>
    </w:p>
    <w:p w:rsidR="008E2EEB" w:rsidRPr="00E95C23" w:rsidRDefault="008E2EEB" w:rsidP="008E2EEB">
      <w:pPr>
        <w:spacing w:after="0" w:line="240" w:lineRule="auto"/>
        <w:ind w:firstLine="289"/>
        <w:jc w:val="both"/>
        <w:rPr>
          <w:rFonts w:ascii="Times New Roman" w:hAnsi="Times New Roman" w:cs="Times New Roman"/>
        </w:rPr>
      </w:pPr>
    </w:p>
    <w:p w:rsidR="00E95C23" w:rsidRPr="000311FC" w:rsidRDefault="007E2AB2" w:rsidP="0097693F">
      <w:pPr>
        <w:pStyle w:val="ListParagraph"/>
        <w:spacing w:after="0" w:line="240" w:lineRule="auto"/>
        <w:ind w:leftChars="0" w:left="1009"/>
        <w:jc w:val="right"/>
        <w:rPr>
          <w:rFonts w:ascii="Footlight MT Light" w:hAnsi="Footlight MT Light"/>
          <w:sz w:val="24"/>
        </w:rPr>
      </w:pPr>
      <w:r w:rsidRPr="0097693F">
        <w:rPr>
          <w:color w:val="000000" w:themeColor="text1"/>
          <w:position w:val="-70"/>
        </w:rPr>
        <w:object w:dxaOrig="5480" w:dyaOrig="1520">
          <v:shape id="_x0000_i1028" type="#_x0000_t75" style="width:273.75pt;height:76.5pt" o:ole="">
            <v:imagedata r:id="rId15" o:title=""/>
          </v:shape>
          <o:OLEObject Type="Embed" ProgID="Equation.3" ShapeID="_x0000_i1028" DrawAspect="Content" ObjectID="_1532632665" r:id="rId16"/>
        </w:object>
      </w:r>
      <w:r w:rsidR="00667086">
        <w:rPr>
          <w:rFonts w:ascii="Footlight MT Light" w:hAnsi="Footlight MT Light"/>
          <w:b/>
          <w:bCs/>
          <w:caps/>
          <w:sz w:val="24"/>
        </w:rPr>
        <w:t xml:space="preserve">          </w:t>
      </w:r>
      <w:r w:rsidR="00E95C23" w:rsidRPr="000311FC">
        <w:rPr>
          <w:rFonts w:ascii="Footlight MT Light" w:hAnsi="Footlight MT Light"/>
          <w:sz w:val="24"/>
        </w:rPr>
        <w:t xml:space="preserve"> </w:t>
      </w:r>
      <w:r w:rsidR="0097693F">
        <w:rPr>
          <w:rFonts w:asciiTheme="majorBidi" w:hAnsiTheme="majorBidi" w:cstheme="majorBidi"/>
        </w:rPr>
        <w:t xml:space="preserve"> </w:t>
      </w:r>
      <w:r w:rsidR="00E95C23" w:rsidRPr="000311FC">
        <w:rPr>
          <w:rFonts w:asciiTheme="majorBidi" w:hAnsiTheme="majorBidi" w:cstheme="majorBidi"/>
        </w:rPr>
        <w:t>(4)</w:t>
      </w:r>
      <w:r w:rsidR="00E95C23" w:rsidRPr="000311FC">
        <w:rPr>
          <w:rFonts w:ascii="Footlight MT Light" w:hAnsi="Footlight MT Light"/>
          <w:sz w:val="24"/>
        </w:rPr>
        <w:t xml:space="preserve"> </w:t>
      </w:r>
    </w:p>
    <w:p w:rsidR="008E2EEB" w:rsidRDefault="008E2EEB" w:rsidP="008E2EEB">
      <w:pPr>
        <w:spacing w:after="0" w:line="240" w:lineRule="auto"/>
        <w:ind w:firstLine="289"/>
        <w:jc w:val="both"/>
        <w:rPr>
          <w:rFonts w:ascii="Times New Roman" w:hAnsi="Times New Roman" w:cs="Times New Roman"/>
        </w:rPr>
      </w:pPr>
    </w:p>
    <w:p w:rsidR="00E95C23" w:rsidRDefault="00E95C23" w:rsidP="008F2059">
      <w:pPr>
        <w:spacing w:after="0" w:line="240" w:lineRule="auto"/>
        <w:ind w:firstLine="289"/>
        <w:jc w:val="both"/>
        <w:rPr>
          <w:rFonts w:ascii="Times New Roman" w:hAnsi="Times New Roman" w:cs="Times New Roman"/>
        </w:rPr>
      </w:pPr>
      <w:r w:rsidRPr="00D20A29">
        <w:rPr>
          <w:rFonts w:ascii="Times New Roman" w:hAnsi="Times New Roman" w:cs="Times New Roman"/>
        </w:rPr>
        <w:t xml:space="preserve">By knowing the magnitude of the wellbore (mud) pressure, the induced principal stresses acting on the wall of a borehole can be computed as </w:t>
      </w:r>
      <w:r w:rsidR="008F2059">
        <w:rPr>
          <w:rFonts w:ascii="Times New Roman" w:hAnsi="Times New Roman" w:cs="Times New Roman"/>
        </w:rPr>
        <w:t>shown in Eq. (5)</w:t>
      </w:r>
      <w:r w:rsidRPr="00D20A29">
        <w:rPr>
          <w:rFonts w:ascii="Times New Roman" w:hAnsi="Times New Roman" w:cs="Times New Roman"/>
        </w:rPr>
        <w:t>:</w:t>
      </w:r>
    </w:p>
    <w:p w:rsidR="008E2EEB" w:rsidRPr="00D20A29" w:rsidRDefault="008E2EEB" w:rsidP="008E2EEB">
      <w:pPr>
        <w:spacing w:after="0" w:line="240" w:lineRule="auto"/>
        <w:ind w:firstLine="289"/>
        <w:jc w:val="both"/>
        <w:rPr>
          <w:rFonts w:ascii="Times New Roman" w:hAnsi="Times New Roman" w:cs="Times New Roman"/>
        </w:rPr>
      </w:pPr>
    </w:p>
    <w:p w:rsidR="00E95C23" w:rsidRPr="000311FC" w:rsidRDefault="00703666" w:rsidP="00F83B0A">
      <w:pPr>
        <w:pStyle w:val="ListParagraph"/>
        <w:spacing w:after="0" w:line="240" w:lineRule="auto"/>
        <w:ind w:leftChars="0" w:left="1009"/>
        <w:jc w:val="right"/>
        <w:rPr>
          <w:rFonts w:ascii="Footlight MT Light" w:hAnsi="Footlight MT Light"/>
          <w:sz w:val="24"/>
        </w:rPr>
      </w:pPr>
      <w:r w:rsidRPr="00703666">
        <w:rPr>
          <w:color w:val="000000" w:themeColor="text1"/>
          <w:position w:val="-80"/>
        </w:rPr>
        <w:object w:dxaOrig="3540" w:dyaOrig="1540">
          <v:shape id="_x0000_i1029" type="#_x0000_t75" style="width:177pt;height:76.5pt" o:ole="">
            <v:imagedata r:id="rId17" o:title=""/>
          </v:shape>
          <o:OLEObject Type="Embed" ProgID="Equation.3" ShapeID="_x0000_i1029" DrawAspect="Content" ObjectID="_1532632666" r:id="rId18"/>
        </w:object>
      </w:r>
      <w:r w:rsidR="00D20A29">
        <w:rPr>
          <w:rFonts w:ascii="Footlight MT Light" w:hAnsi="Footlight MT Light"/>
          <w:sz w:val="24"/>
        </w:rPr>
        <w:t xml:space="preserve">                   </w:t>
      </w:r>
      <w:r w:rsidR="000311FC">
        <w:rPr>
          <w:rFonts w:ascii="Footlight MT Light" w:hAnsi="Footlight MT Light"/>
          <w:sz w:val="24"/>
        </w:rPr>
        <w:t xml:space="preserve"> </w:t>
      </w:r>
      <w:r w:rsidR="00E95C23" w:rsidRPr="000311FC">
        <w:rPr>
          <w:rFonts w:asciiTheme="majorBidi" w:hAnsiTheme="majorBidi" w:cstheme="majorBidi"/>
        </w:rPr>
        <w:t>(5)</w:t>
      </w:r>
    </w:p>
    <w:p w:rsidR="008E2EEB" w:rsidRDefault="008E2EEB" w:rsidP="00D20A29">
      <w:pPr>
        <w:spacing w:after="0" w:line="240" w:lineRule="exact"/>
        <w:ind w:firstLine="289"/>
        <w:jc w:val="both"/>
        <w:rPr>
          <w:rFonts w:ascii="Times New Roman" w:hAnsi="Times New Roman" w:cs="Times New Roman"/>
        </w:rPr>
      </w:pPr>
    </w:p>
    <w:p w:rsidR="00E95C23" w:rsidRDefault="00E95C23" w:rsidP="008F2059">
      <w:pPr>
        <w:spacing w:after="0" w:line="240" w:lineRule="exact"/>
        <w:ind w:firstLine="289"/>
        <w:jc w:val="both"/>
        <w:rPr>
          <w:rFonts w:ascii="Times New Roman" w:hAnsi="Times New Roman" w:cs="Times New Roman"/>
        </w:rPr>
      </w:pPr>
      <w:r w:rsidRPr="00D20A29">
        <w:rPr>
          <w:rFonts w:ascii="Times New Roman" w:hAnsi="Times New Roman" w:cs="Times New Roman"/>
        </w:rPr>
        <w:t>Finally, borehole instability using underbalanced drilling can be predicted by comparing the computed drilling induced and the experim</w:t>
      </w:r>
      <w:r w:rsidR="008F2059">
        <w:rPr>
          <w:rFonts w:ascii="Times New Roman" w:hAnsi="Times New Roman" w:cs="Times New Roman"/>
        </w:rPr>
        <w:t>entally measured shear stresses</w:t>
      </w:r>
      <w:r w:rsidRPr="00D20A29">
        <w:rPr>
          <w:rFonts w:ascii="Times New Roman" w:hAnsi="Times New Roman" w:cs="Times New Roman"/>
        </w:rPr>
        <w:t xml:space="preserve"> </w:t>
      </w:r>
      <w:r w:rsidR="008F2059">
        <w:rPr>
          <w:rFonts w:ascii="Times New Roman" w:hAnsi="Times New Roman" w:cs="Times New Roman"/>
        </w:rPr>
        <w:t>(</w:t>
      </w:r>
      <w:r w:rsidRPr="00D20A29">
        <w:rPr>
          <w:rFonts w:ascii="Times New Roman" w:hAnsi="Times New Roman" w:cs="Times New Roman"/>
        </w:rPr>
        <w:t>i.e</w:t>
      </w:r>
      <w:r w:rsidR="008F2059">
        <w:rPr>
          <w:rFonts w:ascii="Times New Roman" w:hAnsi="Times New Roman" w:cs="Times New Roman"/>
        </w:rPr>
        <w:t xml:space="preserve">. failure criterion) as shown in </w:t>
      </w:r>
      <w:r w:rsidR="005D5EEC">
        <w:rPr>
          <w:rFonts w:ascii="Times New Roman" w:hAnsi="Times New Roman" w:cs="Times New Roman"/>
        </w:rPr>
        <w:t>Fig.</w:t>
      </w:r>
      <w:r w:rsidR="008F2059">
        <w:rPr>
          <w:rFonts w:ascii="Times New Roman" w:hAnsi="Times New Roman" w:cs="Times New Roman"/>
        </w:rPr>
        <w:t xml:space="preserve"> 3 and Eqs. (6 to 8)</w:t>
      </w:r>
      <w:r w:rsidRPr="00D20A29">
        <w:rPr>
          <w:rFonts w:ascii="Times New Roman" w:hAnsi="Times New Roman" w:cs="Times New Roman"/>
        </w:rPr>
        <w:t>:</w:t>
      </w:r>
    </w:p>
    <w:p w:rsidR="008E2EEB" w:rsidRPr="00D20A29" w:rsidRDefault="008E2EEB" w:rsidP="00D20A29">
      <w:pPr>
        <w:spacing w:after="0" w:line="240" w:lineRule="exact"/>
        <w:ind w:firstLine="289"/>
        <w:jc w:val="both"/>
        <w:rPr>
          <w:rFonts w:ascii="Times New Roman" w:hAnsi="Times New Roman" w:cs="Times New Roman"/>
        </w:rPr>
      </w:pPr>
    </w:p>
    <w:p w:rsidR="00E95C23" w:rsidRPr="008E2EEB" w:rsidRDefault="0084331E" w:rsidP="0097693F">
      <w:pPr>
        <w:pStyle w:val="ListParagraph"/>
        <w:spacing w:after="0" w:line="240" w:lineRule="auto"/>
        <w:ind w:leftChars="0" w:left="1009"/>
        <w:jc w:val="right"/>
        <w:rPr>
          <w:rFonts w:asciiTheme="majorBidi" w:hAnsiTheme="majorBidi" w:cstheme="majorBidi"/>
        </w:rPr>
      </w:pPr>
      <w:r w:rsidRPr="008F2059">
        <w:rPr>
          <w:rFonts w:asciiTheme="majorBidi" w:hAnsiTheme="majorBidi" w:cstheme="majorBidi"/>
          <w:position w:val="-30"/>
        </w:rPr>
        <w:object w:dxaOrig="5280" w:dyaOrig="700">
          <v:shape id="_x0000_i1030" type="#_x0000_t75" style="width:263.25pt;height:36pt" o:ole="" fillcolor="window">
            <v:imagedata r:id="rId19" o:title=""/>
          </v:shape>
          <o:OLEObject Type="Embed" ProgID="Equation.3" ShapeID="_x0000_i1030" DrawAspect="Content" ObjectID="_1532632667" r:id="rId20"/>
        </w:object>
      </w:r>
      <w:r w:rsidR="000311FC" w:rsidRPr="008E2EEB">
        <w:rPr>
          <w:rFonts w:asciiTheme="majorBidi" w:hAnsiTheme="majorBidi" w:cstheme="majorBidi"/>
        </w:rPr>
        <w:t xml:space="preserve"> </w:t>
      </w:r>
      <w:r w:rsidR="00E95C23" w:rsidRPr="008E2EEB">
        <w:rPr>
          <w:rFonts w:asciiTheme="majorBidi" w:hAnsiTheme="majorBidi" w:cstheme="majorBidi"/>
        </w:rPr>
        <w:t xml:space="preserve">           </w:t>
      </w:r>
      <w:r w:rsidR="0097693F">
        <w:rPr>
          <w:rFonts w:asciiTheme="majorBidi" w:hAnsiTheme="majorBidi" w:cstheme="majorBidi"/>
        </w:rPr>
        <w:t xml:space="preserve"> </w:t>
      </w:r>
      <w:r w:rsidR="00E95C23" w:rsidRPr="008E2EEB">
        <w:rPr>
          <w:rFonts w:asciiTheme="majorBidi" w:hAnsiTheme="majorBidi" w:cstheme="majorBidi"/>
        </w:rPr>
        <w:t>(6)</w:t>
      </w:r>
    </w:p>
    <w:p w:rsidR="00E95C23" w:rsidRPr="00E95C23" w:rsidRDefault="00D97512" w:rsidP="0097693F">
      <w:pPr>
        <w:pStyle w:val="ListParagraph"/>
        <w:spacing w:after="0" w:line="360" w:lineRule="auto"/>
        <w:ind w:leftChars="0" w:left="1009"/>
        <w:jc w:val="right"/>
        <w:rPr>
          <w:sz w:val="24"/>
        </w:rPr>
      </w:pPr>
      <w:r w:rsidRPr="0097693F">
        <w:rPr>
          <w:position w:val="-36"/>
        </w:rPr>
        <w:object w:dxaOrig="3960" w:dyaOrig="740">
          <v:shape id="_x0000_i1031" type="#_x0000_t75" style="width:198.75pt;height:37.5pt" o:ole="" fillcolor="window">
            <v:imagedata r:id="rId21" o:title=""/>
          </v:shape>
          <o:OLEObject Type="Embed" ProgID="Equation.3" ShapeID="_x0000_i1031" DrawAspect="Content" ObjectID="_1532632668" r:id="rId22"/>
        </w:object>
      </w:r>
      <w:r w:rsidR="00E95C23" w:rsidRPr="00E95C23">
        <w:rPr>
          <w:rFonts w:ascii="Footlight MT Light" w:hAnsi="Footlight MT Light"/>
          <w:sz w:val="24"/>
        </w:rPr>
        <w:t xml:space="preserve">            </w:t>
      </w:r>
      <w:r w:rsidR="00D20A29">
        <w:rPr>
          <w:rFonts w:ascii="Footlight MT Light" w:hAnsi="Footlight MT Light"/>
          <w:sz w:val="24"/>
        </w:rPr>
        <w:t xml:space="preserve">   </w:t>
      </w:r>
      <w:r w:rsidR="00E95C23" w:rsidRPr="00E95C23">
        <w:rPr>
          <w:rFonts w:ascii="Footlight MT Light" w:hAnsi="Footlight MT Light"/>
          <w:sz w:val="24"/>
        </w:rPr>
        <w:t xml:space="preserve">    </w:t>
      </w:r>
      <w:r w:rsidR="0097693F">
        <w:rPr>
          <w:rFonts w:asciiTheme="majorBidi" w:hAnsiTheme="majorBidi" w:cstheme="majorBidi"/>
        </w:rPr>
        <w:t xml:space="preserve"> </w:t>
      </w:r>
      <w:r w:rsidR="00E95C23" w:rsidRPr="000311FC">
        <w:rPr>
          <w:rFonts w:asciiTheme="majorBidi" w:hAnsiTheme="majorBidi" w:cstheme="majorBidi"/>
        </w:rPr>
        <w:t>(7)</w:t>
      </w:r>
    </w:p>
    <w:p w:rsidR="00E95C23" w:rsidRPr="00E95C23" w:rsidRDefault="00D97512" w:rsidP="0097693F">
      <w:pPr>
        <w:pStyle w:val="ListParagraph"/>
        <w:spacing w:after="0" w:line="360" w:lineRule="auto"/>
        <w:ind w:leftChars="0" w:left="1009"/>
        <w:jc w:val="right"/>
        <w:rPr>
          <w:sz w:val="24"/>
        </w:rPr>
      </w:pPr>
      <w:r w:rsidRPr="0084331E">
        <w:rPr>
          <w:position w:val="-28"/>
        </w:rPr>
        <w:object w:dxaOrig="3340" w:dyaOrig="660">
          <v:shape id="_x0000_i1032" type="#_x0000_t75" style="width:168pt;height:33pt" o:ole="" fillcolor="window">
            <v:imagedata r:id="rId23" o:title=""/>
          </v:shape>
          <o:OLEObject Type="Embed" ProgID="Equation.3" ShapeID="_x0000_i1032" DrawAspect="Content" ObjectID="_1532632669" r:id="rId24"/>
        </w:object>
      </w:r>
      <w:r w:rsidR="00E95C23" w:rsidRPr="00E95C23">
        <w:rPr>
          <w:rFonts w:ascii="Footlight MT Light" w:hAnsi="Footlight MT Light"/>
          <w:sz w:val="24"/>
        </w:rPr>
        <w:t xml:space="preserve">    </w:t>
      </w:r>
      <w:r w:rsidR="00D20A29">
        <w:rPr>
          <w:rFonts w:ascii="Footlight MT Light" w:hAnsi="Footlight MT Light"/>
          <w:sz w:val="24"/>
        </w:rPr>
        <w:t xml:space="preserve">               </w:t>
      </w:r>
      <w:r w:rsidR="00E95C23" w:rsidRPr="00E95C23">
        <w:rPr>
          <w:rFonts w:ascii="Footlight MT Light" w:hAnsi="Footlight MT Light"/>
          <w:sz w:val="24"/>
        </w:rPr>
        <w:t xml:space="preserve">    </w:t>
      </w:r>
      <w:r w:rsidR="0097693F">
        <w:rPr>
          <w:rFonts w:asciiTheme="majorBidi" w:hAnsiTheme="majorBidi" w:cstheme="majorBidi"/>
        </w:rPr>
        <w:t xml:space="preserve"> </w:t>
      </w:r>
      <w:r w:rsidR="00E95C23" w:rsidRPr="000311FC">
        <w:rPr>
          <w:rFonts w:asciiTheme="majorBidi" w:hAnsiTheme="majorBidi" w:cstheme="majorBidi"/>
        </w:rPr>
        <w:t>(8)</w:t>
      </w:r>
    </w:p>
    <w:p w:rsidR="008F2059" w:rsidRDefault="008F2059" w:rsidP="00D20A29">
      <w:pPr>
        <w:spacing w:after="0" w:line="240" w:lineRule="exact"/>
        <w:ind w:firstLine="289"/>
        <w:jc w:val="both"/>
        <w:rPr>
          <w:rFonts w:ascii="Times New Roman" w:hAnsi="Times New Roman" w:cs="Times New Roman"/>
        </w:rPr>
      </w:pPr>
    </w:p>
    <w:p w:rsidR="00E95C23" w:rsidRPr="00756E38" w:rsidRDefault="00E95C23" w:rsidP="00756E38">
      <w:pPr>
        <w:spacing w:after="0" w:line="240" w:lineRule="exact"/>
        <w:ind w:firstLine="289"/>
        <w:jc w:val="both"/>
        <w:rPr>
          <w:rFonts w:ascii="Times New Roman" w:hAnsi="Times New Roman" w:cs="Times New Roman"/>
        </w:rPr>
      </w:pPr>
      <w:r w:rsidRPr="00756E38">
        <w:rPr>
          <w:rFonts w:ascii="Times New Roman" w:hAnsi="Times New Roman" w:cs="Times New Roman"/>
        </w:rPr>
        <w:t>Wellbore fracturing pressure limit can be estimated using the following relationship</w:t>
      </w:r>
      <w:r w:rsidR="00721404" w:rsidRPr="00756E38">
        <w:rPr>
          <w:rFonts w:ascii="Times New Roman" w:hAnsi="Times New Roman" w:cs="Times New Roman"/>
        </w:rPr>
        <w:t xml:space="preserve"> (</w:t>
      </w:r>
      <w:r w:rsidR="00756E38" w:rsidRPr="00756E38">
        <w:rPr>
          <w:rFonts w:ascii="Times New Roman" w:hAnsi="Times New Roman" w:cs="Times New Roman"/>
        </w:rPr>
        <w:t>Brady et al., 1985</w:t>
      </w:r>
      <w:r w:rsidR="00721404" w:rsidRPr="00756E38">
        <w:rPr>
          <w:rFonts w:ascii="Times New Roman" w:hAnsi="Times New Roman" w:cs="Times New Roman"/>
        </w:rPr>
        <w:t>)</w:t>
      </w:r>
      <w:r w:rsidRPr="00756E38">
        <w:rPr>
          <w:rFonts w:ascii="Times New Roman" w:hAnsi="Times New Roman" w:cs="Times New Roman"/>
        </w:rPr>
        <w:t>:</w:t>
      </w:r>
    </w:p>
    <w:p w:rsidR="008F2059" w:rsidRPr="00D20A29" w:rsidRDefault="008F2059" w:rsidP="00D20A29">
      <w:pPr>
        <w:spacing w:after="0" w:line="240" w:lineRule="exact"/>
        <w:ind w:firstLine="289"/>
        <w:jc w:val="both"/>
        <w:rPr>
          <w:rFonts w:ascii="Times New Roman" w:hAnsi="Times New Roman" w:cs="Times New Roman"/>
        </w:rPr>
      </w:pPr>
    </w:p>
    <w:p w:rsidR="00E95C23" w:rsidRDefault="008B4E34" w:rsidP="008F2059">
      <w:pPr>
        <w:pStyle w:val="ListParagraph"/>
        <w:spacing w:before="120" w:after="120" w:line="360" w:lineRule="auto"/>
        <w:ind w:leftChars="0" w:left="1009"/>
        <w:jc w:val="right"/>
        <w:rPr>
          <w:rFonts w:asciiTheme="majorBidi" w:hAnsiTheme="majorBidi" w:cstheme="majorBidi"/>
        </w:rPr>
      </w:pPr>
      <w:r w:rsidRPr="008F2059">
        <w:rPr>
          <w:position w:val="-30"/>
        </w:rPr>
        <w:object w:dxaOrig="2900" w:dyaOrig="700">
          <v:shape id="_x0000_i1033" type="#_x0000_t75" style="width:2in;height:34.5pt" o:ole="" fillcolor="window">
            <v:imagedata r:id="rId25" o:title=""/>
          </v:shape>
          <o:OLEObject Type="Embed" ProgID="Equation.3" ShapeID="_x0000_i1033" DrawAspect="Content" ObjectID="_1532632670" r:id="rId26"/>
        </w:object>
      </w:r>
      <w:r w:rsidR="00E95C23" w:rsidRPr="00E95C23">
        <w:rPr>
          <w:rFonts w:ascii="Footlight MT Light" w:hAnsi="Footlight MT Light"/>
          <w:sz w:val="24"/>
        </w:rPr>
        <w:t xml:space="preserve">            </w:t>
      </w:r>
      <w:r w:rsidR="000311FC">
        <w:rPr>
          <w:rFonts w:ascii="Footlight MT Light" w:hAnsi="Footlight MT Light"/>
          <w:sz w:val="24"/>
        </w:rPr>
        <w:t xml:space="preserve">     </w:t>
      </w:r>
      <w:r w:rsidR="00E95C23" w:rsidRPr="00E95C23">
        <w:rPr>
          <w:rFonts w:ascii="Footlight MT Light" w:hAnsi="Footlight MT Light"/>
          <w:sz w:val="24"/>
        </w:rPr>
        <w:t xml:space="preserve">        </w:t>
      </w:r>
      <w:r w:rsidR="0097693F">
        <w:rPr>
          <w:rFonts w:asciiTheme="majorBidi" w:hAnsiTheme="majorBidi" w:cstheme="majorBidi"/>
        </w:rPr>
        <w:t xml:space="preserve"> </w:t>
      </w:r>
      <w:r w:rsidR="00E95C23" w:rsidRPr="000311FC">
        <w:rPr>
          <w:rFonts w:asciiTheme="majorBidi" w:hAnsiTheme="majorBidi" w:cstheme="majorBidi"/>
        </w:rPr>
        <w:t>(9)</w:t>
      </w:r>
    </w:p>
    <w:p w:rsidR="00D34922" w:rsidRPr="00756E38" w:rsidRDefault="00D34922" w:rsidP="00607D6D">
      <w:pPr>
        <w:spacing w:after="0" w:line="240" w:lineRule="exact"/>
        <w:ind w:firstLine="289"/>
        <w:jc w:val="both"/>
        <w:rPr>
          <w:rFonts w:ascii="Times New Roman" w:hAnsi="Times New Roman" w:cs="Times New Roman"/>
        </w:rPr>
      </w:pPr>
      <w:r w:rsidRPr="00756E38">
        <w:rPr>
          <w:rFonts w:ascii="Times New Roman" w:hAnsi="Times New Roman" w:cs="Times New Roman"/>
        </w:rPr>
        <w:t xml:space="preserve">Therefore, borehole instability (collapse) will take place if the model predicted (drilling) shear stress is equal or greater than the laboratory measured (failure criterion) shear stress. In the other hand, lost circulation (fracturing) occurs if the wellbore pressure exceeds the fracturing pressure of the formation.  Table 1 lists the hypothetical data used to validate the mathematical model and to predict the wellbore pressure required for safe UBD, MPD, and OBD operations from wellbore instability prospects.  These data are a modification of a real case vertical well of an oil field in china </w:t>
      </w:r>
      <w:r w:rsidR="00756E38" w:rsidRPr="00756E38">
        <w:rPr>
          <w:rFonts w:ascii="Times New Roman" w:hAnsi="Times New Roman" w:cs="Times New Roman"/>
        </w:rPr>
        <w:t>(Qiang, 2015)</w:t>
      </w:r>
      <w:r w:rsidRPr="00756E38">
        <w:rPr>
          <w:rFonts w:ascii="Times New Roman" w:hAnsi="Times New Roman" w:cs="Times New Roman"/>
        </w:rPr>
        <w:t>.  Three hypothetical formations were used, very weak (R</w:t>
      </w:r>
      <w:r w:rsidR="00607D6D">
        <w:rPr>
          <w:rFonts w:ascii="Times New Roman" w:hAnsi="Times New Roman" w:cs="Times New Roman"/>
        </w:rPr>
        <w:t>1</w:t>
      </w:r>
      <w:r w:rsidRPr="00756E38">
        <w:rPr>
          <w:rFonts w:ascii="Times New Roman" w:hAnsi="Times New Roman" w:cs="Times New Roman"/>
        </w:rPr>
        <w:t>), weak (R2), and medium strong (R</w:t>
      </w:r>
      <w:r w:rsidR="00607D6D">
        <w:rPr>
          <w:rFonts w:ascii="Times New Roman" w:hAnsi="Times New Roman" w:cs="Times New Roman"/>
        </w:rPr>
        <w:t>3</w:t>
      </w:r>
      <w:r w:rsidRPr="00756E38">
        <w:rPr>
          <w:rFonts w:ascii="Times New Roman" w:hAnsi="Times New Roman" w:cs="Times New Roman"/>
        </w:rPr>
        <w:t>) classified according to I</w:t>
      </w:r>
      <w:r w:rsidR="00756E38" w:rsidRPr="00756E38">
        <w:rPr>
          <w:rFonts w:ascii="Times New Roman" w:hAnsi="Times New Roman" w:cs="Times New Roman"/>
        </w:rPr>
        <w:t xml:space="preserve">nternational </w:t>
      </w:r>
      <w:r w:rsidRPr="00756E38">
        <w:rPr>
          <w:rFonts w:ascii="Times New Roman" w:hAnsi="Times New Roman" w:cs="Times New Roman"/>
        </w:rPr>
        <w:t>S</w:t>
      </w:r>
      <w:r w:rsidR="00756E38" w:rsidRPr="00756E38">
        <w:rPr>
          <w:rFonts w:ascii="Times New Roman" w:hAnsi="Times New Roman" w:cs="Times New Roman"/>
        </w:rPr>
        <w:t xml:space="preserve">ociety for </w:t>
      </w:r>
      <w:r w:rsidRPr="00756E38">
        <w:rPr>
          <w:rFonts w:ascii="Times New Roman" w:hAnsi="Times New Roman" w:cs="Times New Roman"/>
        </w:rPr>
        <w:t>R</w:t>
      </w:r>
      <w:r w:rsidR="00756E38" w:rsidRPr="00756E38">
        <w:rPr>
          <w:rFonts w:ascii="Times New Roman" w:hAnsi="Times New Roman" w:cs="Times New Roman"/>
        </w:rPr>
        <w:t xml:space="preserve">ock </w:t>
      </w:r>
      <w:r w:rsidRPr="00756E38">
        <w:rPr>
          <w:rFonts w:ascii="Times New Roman" w:hAnsi="Times New Roman" w:cs="Times New Roman"/>
        </w:rPr>
        <w:t>M</w:t>
      </w:r>
      <w:r w:rsidR="00756E38" w:rsidRPr="00756E38">
        <w:rPr>
          <w:rFonts w:ascii="Times New Roman" w:hAnsi="Times New Roman" w:cs="Times New Roman"/>
        </w:rPr>
        <w:t>echanics</w:t>
      </w:r>
      <w:r w:rsidRPr="00756E38">
        <w:rPr>
          <w:rFonts w:ascii="Times New Roman" w:hAnsi="Times New Roman" w:cs="Times New Roman"/>
        </w:rPr>
        <w:t xml:space="preserve"> </w:t>
      </w:r>
      <w:r w:rsidR="00756E38" w:rsidRPr="00756E38">
        <w:rPr>
          <w:rFonts w:ascii="Times New Roman" w:hAnsi="Times New Roman" w:cs="Times New Roman"/>
        </w:rPr>
        <w:t>(ISRM, 1978)</w:t>
      </w:r>
      <w:r w:rsidRPr="00756E38">
        <w:rPr>
          <w:rFonts w:ascii="Times New Roman" w:hAnsi="Times New Roman" w:cs="Times New Roman"/>
        </w:rPr>
        <w:t>.  Full data is shown in Table 1.</w:t>
      </w:r>
    </w:p>
    <w:p w:rsidR="00D20A29" w:rsidRDefault="00D20A29" w:rsidP="00D20A29">
      <w:pPr>
        <w:pStyle w:val="BodyText"/>
        <w:jc w:val="center"/>
      </w:pPr>
      <w:r>
        <w:rPr>
          <w:rFonts w:asciiTheme="majorBidi" w:hAnsiTheme="majorBidi" w:cstheme="majorBidi"/>
          <w:noProof/>
          <w:color w:val="000000" w:themeColor="text1"/>
          <w:szCs w:val="24"/>
        </w:rPr>
        <w:lastRenderedPageBreak/>
        <w:drawing>
          <wp:inline distT="0" distB="0" distL="0" distR="0" wp14:anchorId="0DF6509E" wp14:editId="3D7F658F">
            <wp:extent cx="3071004" cy="2235405"/>
            <wp:effectExtent l="19050" t="19050" r="152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77723" cy="2240296"/>
                    </a:xfrm>
                    <a:prstGeom prst="rect">
                      <a:avLst/>
                    </a:prstGeom>
                    <a:noFill/>
                    <a:ln w="6350">
                      <a:solidFill>
                        <a:schemeClr val="tx1"/>
                      </a:solidFill>
                    </a:ln>
                  </pic:spPr>
                </pic:pic>
              </a:graphicData>
            </a:graphic>
          </wp:inline>
        </w:drawing>
      </w:r>
    </w:p>
    <w:p w:rsidR="00D20A29" w:rsidRDefault="00FA2181" w:rsidP="008B4E34">
      <w:pPr>
        <w:spacing w:after="0" w:line="240" w:lineRule="exact"/>
        <w:jc w:val="cente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8240" behindDoc="0" locked="0" layoutInCell="1" allowOverlap="1" wp14:anchorId="6EDF6F08" wp14:editId="0CB36DC3">
            <wp:simplePos x="0" y="0"/>
            <wp:positionH relativeFrom="column">
              <wp:posOffset>1252220</wp:posOffset>
            </wp:positionH>
            <wp:positionV relativeFrom="paragraph">
              <wp:posOffset>256540</wp:posOffset>
            </wp:positionV>
            <wp:extent cx="3117215" cy="2520950"/>
            <wp:effectExtent l="19050" t="19050" r="26035" b="1270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7215" cy="25209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D5EEC">
        <w:rPr>
          <w:rFonts w:ascii="Times New Roman" w:hAnsi="Times New Roman" w:cs="Times New Roman"/>
        </w:rPr>
        <w:t>Fig. 2</w:t>
      </w:r>
      <w:r w:rsidR="00D20A29" w:rsidRPr="00D20A29">
        <w:rPr>
          <w:rFonts w:ascii="Times New Roman" w:hAnsi="Times New Roman" w:cs="Times New Roman"/>
        </w:rPr>
        <w:t xml:space="preserve"> Stresses </w:t>
      </w:r>
      <w:r w:rsidR="008B4E34">
        <w:rPr>
          <w:rFonts w:ascii="Times New Roman" w:hAnsi="Times New Roman" w:cs="Times New Roman"/>
        </w:rPr>
        <w:t>t</w:t>
      </w:r>
      <w:r w:rsidR="00D20A29" w:rsidRPr="00D20A29">
        <w:rPr>
          <w:rFonts w:ascii="Times New Roman" w:hAnsi="Times New Roman" w:cs="Times New Roman"/>
        </w:rPr>
        <w:t xml:space="preserve">ransformation for a </w:t>
      </w:r>
      <w:r w:rsidR="008B4E34">
        <w:rPr>
          <w:rFonts w:ascii="Times New Roman" w:hAnsi="Times New Roman" w:cs="Times New Roman"/>
        </w:rPr>
        <w:t>d</w:t>
      </w:r>
      <w:r w:rsidR="00D20A29" w:rsidRPr="00D20A29">
        <w:rPr>
          <w:rFonts w:ascii="Times New Roman" w:hAnsi="Times New Roman" w:cs="Times New Roman"/>
        </w:rPr>
        <w:t xml:space="preserve">irectional </w:t>
      </w:r>
      <w:r w:rsidR="008B4E34">
        <w:rPr>
          <w:rFonts w:ascii="Times New Roman" w:hAnsi="Times New Roman" w:cs="Times New Roman"/>
        </w:rPr>
        <w:t>w</w:t>
      </w:r>
      <w:r w:rsidR="00D20A29" w:rsidRPr="00D20A29">
        <w:rPr>
          <w:rFonts w:ascii="Times New Roman" w:hAnsi="Times New Roman" w:cs="Times New Roman"/>
        </w:rPr>
        <w:t>ell</w:t>
      </w:r>
    </w:p>
    <w:p w:rsidR="00D20A29" w:rsidRPr="00D20A29" w:rsidRDefault="005D5EEC" w:rsidP="001E4A15">
      <w:pPr>
        <w:spacing w:after="0" w:line="240" w:lineRule="exact"/>
        <w:jc w:val="center"/>
        <w:rPr>
          <w:rFonts w:ascii="Times New Roman" w:hAnsi="Times New Roman" w:cs="Times New Roman"/>
        </w:rPr>
      </w:pPr>
      <w:r>
        <w:rPr>
          <w:rFonts w:ascii="Times New Roman" w:hAnsi="Times New Roman" w:cs="Times New Roman"/>
        </w:rPr>
        <w:t>Fig. 3</w:t>
      </w:r>
      <w:r w:rsidR="00D20A29" w:rsidRPr="00D20A29">
        <w:rPr>
          <w:rFonts w:ascii="Times New Roman" w:hAnsi="Times New Roman" w:cs="Times New Roman"/>
        </w:rPr>
        <w:t xml:space="preserve"> Representation of </w:t>
      </w:r>
      <w:r w:rsidR="008B4E34">
        <w:rPr>
          <w:rFonts w:ascii="Times New Roman" w:hAnsi="Times New Roman" w:cs="Times New Roman"/>
        </w:rPr>
        <w:t>d</w:t>
      </w:r>
      <w:r w:rsidR="00D20A29" w:rsidRPr="00D20A29">
        <w:rPr>
          <w:rFonts w:ascii="Times New Roman" w:hAnsi="Times New Roman" w:cs="Times New Roman"/>
        </w:rPr>
        <w:t xml:space="preserve">rilling </w:t>
      </w:r>
      <w:r w:rsidR="008B4E34">
        <w:rPr>
          <w:rFonts w:ascii="Times New Roman" w:hAnsi="Times New Roman" w:cs="Times New Roman"/>
        </w:rPr>
        <w:t>i</w:t>
      </w:r>
      <w:r w:rsidR="00D20A29" w:rsidRPr="00D20A29">
        <w:rPr>
          <w:rFonts w:ascii="Times New Roman" w:hAnsi="Times New Roman" w:cs="Times New Roman"/>
        </w:rPr>
        <w:t xml:space="preserve">nduced </w:t>
      </w:r>
      <w:r w:rsidR="008B4E34">
        <w:rPr>
          <w:rFonts w:ascii="Times New Roman" w:hAnsi="Times New Roman" w:cs="Times New Roman"/>
        </w:rPr>
        <w:t>f</w:t>
      </w:r>
      <w:r w:rsidR="00D20A29" w:rsidRPr="00D20A29">
        <w:rPr>
          <w:rFonts w:ascii="Times New Roman" w:hAnsi="Times New Roman" w:cs="Times New Roman"/>
        </w:rPr>
        <w:t xml:space="preserve">ailure </w:t>
      </w:r>
      <w:r w:rsidR="008B4E34">
        <w:rPr>
          <w:rFonts w:ascii="Times New Roman" w:hAnsi="Times New Roman" w:cs="Times New Roman"/>
        </w:rPr>
        <w:t>p</w:t>
      </w:r>
      <w:r w:rsidR="00D20A29" w:rsidRPr="00D20A29">
        <w:rPr>
          <w:rFonts w:ascii="Times New Roman" w:hAnsi="Times New Roman" w:cs="Times New Roman"/>
        </w:rPr>
        <w:t>ossibility</w:t>
      </w:r>
    </w:p>
    <w:p w:rsidR="00026777" w:rsidRDefault="00026777" w:rsidP="00D20A29">
      <w:pPr>
        <w:spacing w:after="0" w:line="240" w:lineRule="exact"/>
        <w:ind w:firstLine="289"/>
        <w:jc w:val="both"/>
        <w:rPr>
          <w:rFonts w:ascii="Times New Roman" w:hAnsi="Times New Roman" w:cs="Times New Roman"/>
        </w:rPr>
      </w:pPr>
    </w:p>
    <w:p w:rsidR="00D20A29" w:rsidRPr="00D20A29" w:rsidRDefault="00EC7EB1" w:rsidP="008A5452">
      <w:pPr>
        <w:spacing w:after="0" w:line="240" w:lineRule="exact"/>
        <w:jc w:val="center"/>
        <w:rPr>
          <w:rFonts w:ascii="Times New Roman" w:hAnsi="Times New Roman" w:cs="Times New Roman"/>
        </w:rPr>
      </w:pPr>
      <w:r>
        <w:rPr>
          <w:rFonts w:ascii="Times New Roman" w:hAnsi="Times New Roman" w:cs="Times New Roman"/>
        </w:rPr>
        <w:t>Table 1</w:t>
      </w:r>
      <w:r w:rsidR="00D20A29" w:rsidRPr="00D20A29">
        <w:rPr>
          <w:rFonts w:ascii="Times New Roman" w:hAnsi="Times New Roman" w:cs="Times New Roman"/>
        </w:rPr>
        <w:t xml:space="preserve"> Hypothetical </w:t>
      </w:r>
      <w:r w:rsidR="008B4E34">
        <w:rPr>
          <w:rFonts w:ascii="Times New Roman" w:hAnsi="Times New Roman" w:cs="Times New Roman"/>
        </w:rPr>
        <w:t>d</w:t>
      </w:r>
      <w:r w:rsidR="00D20A29" w:rsidRPr="00D20A29">
        <w:rPr>
          <w:rFonts w:ascii="Times New Roman" w:hAnsi="Times New Roman" w:cs="Times New Roman"/>
        </w:rPr>
        <w:t xml:space="preserve">ata </w:t>
      </w:r>
      <w:r w:rsidR="008B4E34">
        <w:rPr>
          <w:rFonts w:ascii="Times New Roman" w:hAnsi="Times New Roman" w:cs="Times New Roman"/>
        </w:rPr>
        <w:t>u</w:t>
      </w:r>
      <w:r w:rsidR="00D20A29" w:rsidRPr="00D20A29">
        <w:rPr>
          <w:rFonts w:ascii="Times New Roman" w:hAnsi="Times New Roman" w:cs="Times New Roman"/>
        </w:rPr>
        <w:t xml:space="preserve">sed for </w:t>
      </w:r>
      <w:r w:rsidR="008B4E34">
        <w:rPr>
          <w:rFonts w:ascii="Times New Roman" w:hAnsi="Times New Roman" w:cs="Times New Roman"/>
        </w:rPr>
        <w:t>m</w:t>
      </w:r>
      <w:r w:rsidR="00D20A29" w:rsidRPr="00D20A29">
        <w:rPr>
          <w:rFonts w:ascii="Times New Roman" w:hAnsi="Times New Roman" w:cs="Times New Roman"/>
        </w:rPr>
        <w:t xml:space="preserve">odel </w:t>
      </w:r>
      <w:r w:rsidR="008B4E34">
        <w:rPr>
          <w:rFonts w:ascii="Times New Roman" w:hAnsi="Times New Roman" w:cs="Times New Roman"/>
        </w:rPr>
        <w:t>v</w:t>
      </w:r>
      <w:r w:rsidR="00D20A29" w:rsidRPr="00D20A29">
        <w:rPr>
          <w:rFonts w:ascii="Times New Roman" w:hAnsi="Times New Roman" w:cs="Times New Roman"/>
        </w:rPr>
        <w:t>erification</w:t>
      </w:r>
    </w:p>
    <w:tbl>
      <w:tblPr>
        <w:tblStyle w:val="TableGrid"/>
        <w:tblpPr w:leftFromText="180" w:rightFromText="180" w:vertAnchor="text" w:horzAnchor="margin" w:tblpX="108" w:tblpY="79"/>
        <w:tblOverlap w:val="never"/>
        <w:tblW w:w="0" w:type="auto"/>
        <w:tblLook w:val="04A0" w:firstRow="1" w:lastRow="0" w:firstColumn="1" w:lastColumn="0" w:noHBand="0" w:noVBand="1"/>
      </w:tblPr>
      <w:tblGrid>
        <w:gridCol w:w="1908"/>
        <w:gridCol w:w="900"/>
        <w:gridCol w:w="810"/>
        <w:gridCol w:w="1081"/>
        <w:gridCol w:w="1530"/>
        <w:gridCol w:w="990"/>
        <w:gridCol w:w="1530"/>
      </w:tblGrid>
      <w:tr w:rsidR="00667086" w:rsidRPr="00851BCC" w:rsidTr="00756E38">
        <w:trPr>
          <w:trHeight w:val="171"/>
        </w:trPr>
        <w:tc>
          <w:tcPr>
            <w:tcW w:w="1908" w:type="dxa"/>
          </w:tcPr>
          <w:p w:rsidR="00667086" w:rsidRPr="00D20A29" w:rsidRDefault="00667086" w:rsidP="00667086">
            <w:pPr>
              <w:spacing w:after="0" w:line="240" w:lineRule="auto"/>
              <w:ind w:left="-90" w:right="-108"/>
              <w:jc w:val="center"/>
              <w:rPr>
                <w:rFonts w:ascii="Times New Roman" w:eastAsia="MS Mincho" w:hAnsi="Times New Roman" w:cs="Times New Roman"/>
              </w:rPr>
            </w:pPr>
            <w:r w:rsidRPr="00D20A29">
              <w:rPr>
                <w:rFonts w:ascii="Times New Roman" w:eastAsia="MS Mincho" w:hAnsi="Times New Roman" w:cs="Times New Roman"/>
              </w:rPr>
              <w:t>Rock Type</w:t>
            </w:r>
          </w:p>
        </w:tc>
        <w:tc>
          <w:tcPr>
            <w:tcW w:w="900" w:type="dxa"/>
          </w:tcPr>
          <w:p w:rsidR="00667086" w:rsidRPr="00D20A29" w:rsidRDefault="00667086" w:rsidP="00667086">
            <w:pPr>
              <w:spacing w:after="0" w:line="240" w:lineRule="auto"/>
              <w:ind w:left="-135" w:right="-108"/>
              <w:jc w:val="center"/>
              <w:rPr>
                <w:rFonts w:ascii="Times New Roman" w:eastAsia="MS Mincho" w:hAnsi="Times New Roman" w:cs="Times New Roman"/>
              </w:rPr>
            </w:pPr>
            <w:r w:rsidRPr="00D20A29">
              <w:rPr>
                <w:rFonts w:ascii="Times New Roman" w:eastAsia="MS Mincho" w:hAnsi="Times New Roman" w:cs="Times New Roman"/>
              </w:rPr>
              <w:t>ISRM</w:t>
            </w:r>
          </w:p>
          <w:p w:rsidR="00667086" w:rsidRPr="00D20A29" w:rsidRDefault="00667086" w:rsidP="00667086">
            <w:pPr>
              <w:spacing w:after="0" w:line="240" w:lineRule="auto"/>
              <w:ind w:left="-135" w:right="-108"/>
              <w:jc w:val="center"/>
              <w:rPr>
                <w:rFonts w:ascii="Times New Roman" w:eastAsia="MS Mincho" w:hAnsi="Times New Roman" w:cs="Times New Roman"/>
              </w:rPr>
            </w:pPr>
            <w:r w:rsidRPr="00D20A29">
              <w:rPr>
                <w:rFonts w:ascii="Times New Roman" w:eastAsia="MS Mincho" w:hAnsi="Times New Roman" w:cs="Times New Roman"/>
              </w:rPr>
              <w:t>Grade</w:t>
            </w:r>
          </w:p>
        </w:tc>
        <w:tc>
          <w:tcPr>
            <w:tcW w:w="810" w:type="dxa"/>
          </w:tcPr>
          <w:p w:rsidR="00667086" w:rsidRPr="00D20A29" w:rsidRDefault="00667086" w:rsidP="00667086">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UCS, MPa</w:t>
            </w:r>
          </w:p>
        </w:tc>
        <w:tc>
          <w:tcPr>
            <w:tcW w:w="1081" w:type="dxa"/>
          </w:tcPr>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Poisson’s</w:t>
            </w:r>
          </w:p>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Ratio</w:t>
            </w:r>
          </w:p>
        </w:tc>
        <w:tc>
          <w:tcPr>
            <w:tcW w:w="1530" w:type="dxa"/>
          </w:tcPr>
          <w:p w:rsidR="00667086" w:rsidRPr="00D20A29" w:rsidRDefault="00667086" w:rsidP="00667086">
            <w:pPr>
              <w:spacing w:after="0" w:line="240" w:lineRule="auto"/>
              <w:ind w:left="-81" w:right="-108"/>
              <w:jc w:val="center"/>
              <w:rPr>
                <w:rFonts w:ascii="Times New Roman" w:eastAsia="MS Mincho" w:hAnsi="Times New Roman" w:cs="Times New Roman"/>
              </w:rPr>
            </w:pPr>
            <w:r w:rsidRPr="00D20A29">
              <w:rPr>
                <w:rFonts w:ascii="Times New Roman" w:eastAsia="MS Mincho" w:hAnsi="Times New Roman" w:cs="Times New Roman"/>
              </w:rPr>
              <w:t>Friction Angle,</w:t>
            </w:r>
          </w:p>
          <w:p w:rsidR="00667086" w:rsidRPr="00D20A29" w:rsidRDefault="00667086" w:rsidP="00B85C16">
            <w:pPr>
              <w:spacing w:after="0" w:line="240" w:lineRule="auto"/>
              <w:ind w:left="-81" w:right="-108"/>
              <w:jc w:val="center"/>
              <w:rPr>
                <w:rFonts w:ascii="Times New Roman" w:eastAsia="MS Mincho" w:hAnsi="Times New Roman" w:cs="Times New Roman"/>
              </w:rPr>
            </w:pPr>
            <w:r w:rsidRPr="00D20A29">
              <w:rPr>
                <w:rFonts w:ascii="Times New Roman" w:eastAsia="MS Mincho" w:hAnsi="Times New Roman" w:cs="Times New Roman"/>
              </w:rPr>
              <w:t>(</w:t>
            </w:r>
            <w:r w:rsidR="00B85C16">
              <w:rPr>
                <w:rFonts w:ascii="Times New Roman" w:eastAsia="MS Mincho" w:hAnsi="Times New Roman" w:cs="Times New Roman"/>
              </w:rPr>
              <w:t>Degree</w:t>
            </w:r>
            <w:r w:rsidRPr="00D20A29">
              <w:rPr>
                <w:rFonts w:ascii="Times New Roman" w:eastAsia="MS Mincho" w:hAnsi="Times New Roman" w:cs="Times New Roman"/>
              </w:rPr>
              <w:t>)</w:t>
            </w:r>
          </w:p>
        </w:tc>
        <w:tc>
          <w:tcPr>
            <w:tcW w:w="990" w:type="dxa"/>
          </w:tcPr>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Depth,</w:t>
            </w:r>
          </w:p>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m</w:t>
            </w:r>
          </w:p>
        </w:tc>
        <w:tc>
          <w:tcPr>
            <w:tcW w:w="1530" w:type="dxa"/>
          </w:tcPr>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Pore Pressure,</w:t>
            </w:r>
          </w:p>
          <w:p w:rsidR="00667086" w:rsidRPr="00D20A29" w:rsidRDefault="00667086" w:rsidP="00667086">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Pp, MPa</w:t>
            </w:r>
          </w:p>
        </w:tc>
      </w:tr>
      <w:tr w:rsidR="00D20A29" w:rsidRPr="00851BCC" w:rsidTr="000311FC">
        <w:trPr>
          <w:trHeight w:val="171"/>
        </w:trPr>
        <w:tc>
          <w:tcPr>
            <w:tcW w:w="1908" w:type="dxa"/>
            <w:vAlign w:val="center"/>
          </w:tcPr>
          <w:p w:rsidR="00D20A29" w:rsidRPr="00D20A29" w:rsidRDefault="00D20A29" w:rsidP="00D20A29">
            <w:pPr>
              <w:spacing w:after="0" w:line="240" w:lineRule="auto"/>
              <w:ind w:left="-90" w:right="-108"/>
              <w:rPr>
                <w:rFonts w:ascii="Times New Roman" w:eastAsia="MS Mincho" w:hAnsi="Times New Roman" w:cs="Times New Roman"/>
              </w:rPr>
            </w:pPr>
            <w:r w:rsidRPr="00D20A29">
              <w:rPr>
                <w:rFonts w:ascii="Times New Roman" w:eastAsia="MS Mincho" w:hAnsi="Times New Roman" w:cs="Times New Roman"/>
              </w:rPr>
              <w:t xml:space="preserve">Very Weak </w:t>
            </w:r>
          </w:p>
        </w:tc>
        <w:tc>
          <w:tcPr>
            <w:tcW w:w="900" w:type="dxa"/>
            <w:vAlign w:val="center"/>
          </w:tcPr>
          <w:p w:rsidR="00D20A29" w:rsidRPr="00D20A29" w:rsidRDefault="00D20A29" w:rsidP="00D20A29">
            <w:pPr>
              <w:spacing w:after="0" w:line="240" w:lineRule="auto"/>
              <w:ind w:left="-92" w:right="-108"/>
              <w:jc w:val="center"/>
              <w:rPr>
                <w:rFonts w:ascii="Times New Roman" w:eastAsia="MS Mincho" w:hAnsi="Times New Roman" w:cs="Times New Roman"/>
              </w:rPr>
            </w:pPr>
            <w:r w:rsidRPr="00D20A29">
              <w:rPr>
                <w:rFonts w:ascii="Times New Roman" w:eastAsia="MS Mincho" w:hAnsi="Times New Roman" w:cs="Times New Roman"/>
              </w:rPr>
              <w:t>R1</w:t>
            </w:r>
          </w:p>
        </w:tc>
        <w:tc>
          <w:tcPr>
            <w:tcW w:w="810" w:type="dxa"/>
            <w:vAlign w:val="center"/>
          </w:tcPr>
          <w:p w:rsidR="00D20A29" w:rsidRPr="00D20A29" w:rsidRDefault="00D20A29" w:rsidP="00D20A29">
            <w:pPr>
              <w:spacing w:after="0" w:line="240" w:lineRule="auto"/>
              <w:ind w:left="-378" w:right="62"/>
              <w:jc w:val="right"/>
              <w:rPr>
                <w:rFonts w:ascii="Times New Roman" w:eastAsia="MS Mincho" w:hAnsi="Times New Roman" w:cs="Times New Roman"/>
              </w:rPr>
            </w:pPr>
            <w:r w:rsidRPr="00D20A29">
              <w:rPr>
                <w:rFonts w:ascii="Times New Roman" w:eastAsia="MS Mincho" w:hAnsi="Times New Roman" w:cs="Times New Roman"/>
              </w:rPr>
              <w:t>6.9</w:t>
            </w:r>
          </w:p>
        </w:tc>
        <w:tc>
          <w:tcPr>
            <w:tcW w:w="1081" w:type="dxa"/>
            <w:vAlign w:val="center"/>
          </w:tcPr>
          <w:p w:rsidR="00D20A29" w:rsidRPr="00D20A29" w:rsidRDefault="00D20A29" w:rsidP="00D20A29">
            <w:pPr>
              <w:spacing w:after="0" w:line="240" w:lineRule="auto"/>
              <w:ind w:left="-72" w:right="-84"/>
              <w:jc w:val="center"/>
              <w:rPr>
                <w:rFonts w:ascii="Times New Roman" w:eastAsia="MS Mincho" w:hAnsi="Times New Roman" w:cs="Times New Roman"/>
              </w:rPr>
            </w:pPr>
            <w:r w:rsidRPr="00D20A29">
              <w:rPr>
                <w:rFonts w:ascii="Times New Roman" w:eastAsia="MS Mincho" w:hAnsi="Times New Roman" w:cs="Times New Roman"/>
              </w:rPr>
              <w:t>0.20</w:t>
            </w:r>
          </w:p>
        </w:tc>
        <w:tc>
          <w:tcPr>
            <w:tcW w:w="1530" w:type="dxa"/>
            <w:vAlign w:val="center"/>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21</w:t>
            </w:r>
          </w:p>
        </w:tc>
        <w:tc>
          <w:tcPr>
            <w:tcW w:w="990" w:type="dxa"/>
            <w:vAlign w:val="center"/>
          </w:tcPr>
          <w:p w:rsidR="00D20A29" w:rsidRPr="00D20A29" w:rsidRDefault="00182B84" w:rsidP="00D20A29">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2730</w:t>
            </w:r>
          </w:p>
        </w:tc>
        <w:tc>
          <w:tcPr>
            <w:tcW w:w="1530" w:type="dxa"/>
            <w:vAlign w:val="center"/>
          </w:tcPr>
          <w:p w:rsidR="00D20A29" w:rsidRPr="00D20A29" w:rsidRDefault="00D20A29" w:rsidP="00D20A29">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51</w:t>
            </w:r>
          </w:p>
        </w:tc>
      </w:tr>
      <w:tr w:rsidR="00D20A29" w:rsidRPr="00851BCC" w:rsidTr="00756E38">
        <w:tc>
          <w:tcPr>
            <w:tcW w:w="1908" w:type="dxa"/>
          </w:tcPr>
          <w:p w:rsidR="00D20A29" w:rsidRPr="00D20A29" w:rsidRDefault="00D20A29" w:rsidP="00D20A29">
            <w:pPr>
              <w:spacing w:after="0" w:line="240" w:lineRule="auto"/>
              <w:ind w:left="-90" w:right="-108"/>
              <w:rPr>
                <w:rFonts w:ascii="Times New Roman" w:eastAsia="MS Mincho" w:hAnsi="Times New Roman" w:cs="Times New Roman"/>
              </w:rPr>
            </w:pPr>
            <w:r w:rsidRPr="00D20A29">
              <w:rPr>
                <w:rFonts w:ascii="Times New Roman" w:eastAsia="MS Mincho" w:hAnsi="Times New Roman" w:cs="Times New Roman"/>
              </w:rPr>
              <w:t>Weak</w:t>
            </w:r>
          </w:p>
        </w:tc>
        <w:tc>
          <w:tcPr>
            <w:tcW w:w="900" w:type="dxa"/>
          </w:tcPr>
          <w:p w:rsidR="00D20A29" w:rsidRPr="00D20A29" w:rsidRDefault="00D20A29" w:rsidP="00D20A29">
            <w:pPr>
              <w:spacing w:after="0" w:line="240" w:lineRule="auto"/>
              <w:ind w:left="-92" w:right="-108"/>
              <w:jc w:val="center"/>
              <w:rPr>
                <w:rFonts w:ascii="Times New Roman" w:eastAsia="MS Mincho" w:hAnsi="Times New Roman" w:cs="Times New Roman"/>
              </w:rPr>
            </w:pPr>
            <w:r w:rsidRPr="00D20A29">
              <w:rPr>
                <w:rFonts w:ascii="Times New Roman" w:eastAsia="MS Mincho" w:hAnsi="Times New Roman" w:cs="Times New Roman"/>
              </w:rPr>
              <w:t>R2</w:t>
            </w:r>
          </w:p>
        </w:tc>
        <w:tc>
          <w:tcPr>
            <w:tcW w:w="810" w:type="dxa"/>
          </w:tcPr>
          <w:p w:rsidR="00D20A29" w:rsidRPr="00D20A29" w:rsidRDefault="00D20A29" w:rsidP="00D20A29">
            <w:pPr>
              <w:spacing w:after="0" w:line="240" w:lineRule="auto"/>
              <w:ind w:left="-378" w:right="62"/>
              <w:jc w:val="right"/>
              <w:rPr>
                <w:rFonts w:ascii="Times New Roman" w:eastAsia="MS Mincho" w:hAnsi="Times New Roman" w:cs="Times New Roman"/>
              </w:rPr>
            </w:pPr>
            <w:r w:rsidRPr="00D20A29">
              <w:rPr>
                <w:rFonts w:ascii="Times New Roman" w:eastAsia="MS Mincho" w:hAnsi="Times New Roman" w:cs="Times New Roman"/>
              </w:rPr>
              <w:t>20.6</w:t>
            </w:r>
          </w:p>
        </w:tc>
        <w:tc>
          <w:tcPr>
            <w:tcW w:w="1081" w:type="dxa"/>
          </w:tcPr>
          <w:p w:rsidR="00D20A29" w:rsidRPr="00D20A29" w:rsidRDefault="00D20A29" w:rsidP="00D20A29">
            <w:pPr>
              <w:spacing w:after="0" w:line="240" w:lineRule="auto"/>
              <w:ind w:left="-72" w:right="-84"/>
              <w:jc w:val="center"/>
              <w:rPr>
                <w:rFonts w:ascii="Times New Roman" w:eastAsia="MS Mincho" w:hAnsi="Times New Roman" w:cs="Times New Roman"/>
              </w:rPr>
            </w:pPr>
            <w:r w:rsidRPr="00D20A29">
              <w:rPr>
                <w:rFonts w:ascii="Times New Roman" w:eastAsia="MS Mincho" w:hAnsi="Times New Roman" w:cs="Times New Roman"/>
              </w:rPr>
              <w:t>0.23</w:t>
            </w:r>
          </w:p>
        </w:tc>
        <w:tc>
          <w:tcPr>
            <w:tcW w:w="1530" w:type="dxa"/>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26</w:t>
            </w:r>
          </w:p>
        </w:tc>
        <w:tc>
          <w:tcPr>
            <w:tcW w:w="990" w:type="dxa"/>
          </w:tcPr>
          <w:p w:rsidR="00D20A29" w:rsidRPr="00D20A29" w:rsidRDefault="00182B84" w:rsidP="00D20A29">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2730</w:t>
            </w:r>
          </w:p>
        </w:tc>
        <w:tc>
          <w:tcPr>
            <w:tcW w:w="1530" w:type="dxa"/>
          </w:tcPr>
          <w:p w:rsidR="00D20A29" w:rsidRPr="00D20A29" w:rsidRDefault="00D20A29" w:rsidP="00D20A29">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51</w:t>
            </w:r>
          </w:p>
        </w:tc>
      </w:tr>
      <w:tr w:rsidR="00D20A29" w:rsidRPr="00851BCC" w:rsidTr="00B85C16">
        <w:tc>
          <w:tcPr>
            <w:tcW w:w="1908" w:type="dxa"/>
            <w:tcBorders>
              <w:bottom w:val="single" w:sz="12" w:space="0" w:color="auto"/>
            </w:tcBorders>
          </w:tcPr>
          <w:p w:rsidR="00D20A29" w:rsidRPr="00D20A29" w:rsidRDefault="00D20A29" w:rsidP="00D20A29">
            <w:pPr>
              <w:spacing w:after="0" w:line="240" w:lineRule="auto"/>
              <w:ind w:left="-90" w:right="-108"/>
              <w:rPr>
                <w:rFonts w:ascii="Times New Roman" w:eastAsia="MS Mincho" w:hAnsi="Times New Roman" w:cs="Times New Roman"/>
              </w:rPr>
            </w:pPr>
            <w:r w:rsidRPr="00D20A29">
              <w:rPr>
                <w:rFonts w:ascii="Times New Roman" w:eastAsia="MS Mincho" w:hAnsi="Times New Roman" w:cs="Times New Roman"/>
              </w:rPr>
              <w:t>Medium Strong</w:t>
            </w:r>
          </w:p>
        </w:tc>
        <w:tc>
          <w:tcPr>
            <w:tcW w:w="900" w:type="dxa"/>
            <w:tcBorders>
              <w:bottom w:val="single" w:sz="12" w:space="0" w:color="auto"/>
            </w:tcBorders>
          </w:tcPr>
          <w:p w:rsidR="00D20A29" w:rsidRPr="00D20A29" w:rsidRDefault="00D20A29" w:rsidP="00D20A29">
            <w:pPr>
              <w:spacing w:after="0" w:line="240" w:lineRule="auto"/>
              <w:ind w:left="-92" w:right="-108"/>
              <w:jc w:val="center"/>
              <w:rPr>
                <w:rFonts w:ascii="Times New Roman" w:eastAsia="MS Mincho" w:hAnsi="Times New Roman" w:cs="Times New Roman"/>
              </w:rPr>
            </w:pPr>
            <w:r w:rsidRPr="00D20A29">
              <w:rPr>
                <w:rFonts w:ascii="Times New Roman" w:eastAsia="MS Mincho" w:hAnsi="Times New Roman" w:cs="Times New Roman"/>
              </w:rPr>
              <w:t>R3</w:t>
            </w:r>
          </w:p>
        </w:tc>
        <w:tc>
          <w:tcPr>
            <w:tcW w:w="810" w:type="dxa"/>
            <w:tcBorders>
              <w:bottom w:val="single" w:sz="12" w:space="0" w:color="auto"/>
            </w:tcBorders>
          </w:tcPr>
          <w:p w:rsidR="00D20A29" w:rsidRPr="00D20A29" w:rsidRDefault="00D20A29" w:rsidP="00D20A29">
            <w:pPr>
              <w:spacing w:after="0" w:line="240" w:lineRule="auto"/>
              <w:ind w:left="-378" w:right="62"/>
              <w:jc w:val="right"/>
              <w:rPr>
                <w:rFonts w:ascii="Times New Roman" w:eastAsia="MS Mincho" w:hAnsi="Times New Roman" w:cs="Times New Roman"/>
              </w:rPr>
            </w:pPr>
            <w:r w:rsidRPr="00D20A29">
              <w:rPr>
                <w:rFonts w:ascii="Times New Roman" w:eastAsia="MS Mincho" w:hAnsi="Times New Roman" w:cs="Times New Roman"/>
              </w:rPr>
              <w:t>35.6</w:t>
            </w:r>
          </w:p>
        </w:tc>
        <w:tc>
          <w:tcPr>
            <w:tcW w:w="1081" w:type="dxa"/>
            <w:tcBorders>
              <w:bottom w:val="single" w:sz="12" w:space="0" w:color="auto"/>
            </w:tcBorders>
          </w:tcPr>
          <w:p w:rsidR="00D20A29" w:rsidRPr="00D20A29" w:rsidRDefault="00D20A29" w:rsidP="00D20A29">
            <w:pPr>
              <w:spacing w:after="0" w:line="240" w:lineRule="auto"/>
              <w:ind w:left="-72" w:right="-84"/>
              <w:jc w:val="center"/>
              <w:rPr>
                <w:rFonts w:ascii="Times New Roman" w:eastAsia="MS Mincho" w:hAnsi="Times New Roman" w:cs="Times New Roman"/>
              </w:rPr>
            </w:pPr>
            <w:r w:rsidRPr="00D20A29">
              <w:rPr>
                <w:rFonts w:ascii="Times New Roman" w:eastAsia="MS Mincho" w:hAnsi="Times New Roman" w:cs="Times New Roman"/>
              </w:rPr>
              <w:t>0.25</w:t>
            </w:r>
          </w:p>
        </w:tc>
        <w:tc>
          <w:tcPr>
            <w:tcW w:w="1530" w:type="dxa"/>
            <w:tcBorders>
              <w:bottom w:val="single" w:sz="12" w:space="0" w:color="auto"/>
            </w:tcBorders>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31.4</w:t>
            </w:r>
          </w:p>
        </w:tc>
        <w:tc>
          <w:tcPr>
            <w:tcW w:w="990" w:type="dxa"/>
            <w:tcBorders>
              <w:bottom w:val="single" w:sz="12" w:space="0" w:color="auto"/>
            </w:tcBorders>
          </w:tcPr>
          <w:p w:rsidR="00D20A29" w:rsidRPr="00D20A29" w:rsidRDefault="00182B84" w:rsidP="00D20A29">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2730</w:t>
            </w:r>
          </w:p>
        </w:tc>
        <w:tc>
          <w:tcPr>
            <w:tcW w:w="1530" w:type="dxa"/>
            <w:tcBorders>
              <w:bottom w:val="single" w:sz="12" w:space="0" w:color="auto"/>
            </w:tcBorders>
          </w:tcPr>
          <w:p w:rsidR="00D20A29" w:rsidRPr="00D20A29" w:rsidRDefault="00D20A29" w:rsidP="00D20A29">
            <w:pPr>
              <w:spacing w:after="0" w:line="240" w:lineRule="auto"/>
              <w:ind w:left="-108" w:right="-108"/>
              <w:jc w:val="center"/>
              <w:rPr>
                <w:rFonts w:ascii="Times New Roman" w:eastAsia="MS Mincho" w:hAnsi="Times New Roman" w:cs="Times New Roman"/>
              </w:rPr>
            </w:pPr>
            <w:r w:rsidRPr="00D20A29">
              <w:rPr>
                <w:rFonts w:ascii="Times New Roman" w:eastAsia="MS Mincho" w:hAnsi="Times New Roman" w:cs="Times New Roman"/>
              </w:rPr>
              <w:t>51</w:t>
            </w:r>
          </w:p>
        </w:tc>
      </w:tr>
      <w:tr w:rsidR="00D20A29" w:rsidRPr="00851BCC" w:rsidTr="00B85C16">
        <w:trPr>
          <w:trHeight w:val="221"/>
        </w:trPr>
        <w:tc>
          <w:tcPr>
            <w:tcW w:w="4699" w:type="dxa"/>
            <w:gridSpan w:val="4"/>
            <w:vMerge w:val="restart"/>
            <w:tcBorders>
              <w:top w:val="single" w:sz="12" w:space="0" w:color="auto"/>
            </w:tcBorders>
            <w:vAlign w:val="center"/>
          </w:tcPr>
          <w:p w:rsidR="00D20A29" w:rsidRPr="00D20A29" w:rsidRDefault="00D20A29" w:rsidP="000311FC">
            <w:pPr>
              <w:spacing w:after="0" w:line="240" w:lineRule="auto"/>
              <w:rPr>
                <w:rFonts w:ascii="Times New Roman" w:eastAsia="MS Mincho" w:hAnsi="Times New Roman" w:cs="Times New Roman"/>
              </w:rPr>
            </w:pPr>
            <w:r w:rsidRPr="00D20A29">
              <w:rPr>
                <w:rFonts w:ascii="Times New Roman" w:eastAsia="MS Mincho" w:hAnsi="Times New Roman" w:cs="Times New Roman"/>
              </w:rPr>
              <w:t xml:space="preserve">Principal In-Situ Stresses Gradients, </w:t>
            </w:r>
          </w:p>
          <w:p w:rsidR="00D20A29" w:rsidRPr="00D20A29" w:rsidRDefault="00D20A29" w:rsidP="00667086">
            <w:pPr>
              <w:spacing w:after="0" w:line="240" w:lineRule="auto"/>
              <w:ind w:right="1243"/>
              <w:jc w:val="center"/>
              <w:rPr>
                <w:rFonts w:ascii="Times New Roman" w:eastAsia="MS Mincho" w:hAnsi="Times New Roman" w:cs="Times New Roman"/>
              </w:rPr>
            </w:pPr>
            <w:r w:rsidRPr="00D20A29">
              <w:rPr>
                <w:rFonts w:ascii="Times New Roman" w:eastAsia="MS Mincho" w:hAnsi="Times New Roman" w:cs="Times New Roman"/>
              </w:rPr>
              <w:t>psi/ft (MPa/m)</w:t>
            </w:r>
          </w:p>
        </w:tc>
        <w:tc>
          <w:tcPr>
            <w:tcW w:w="1530" w:type="dxa"/>
            <w:tcBorders>
              <w:top w:val="single" w:sz="12" w:space="0" w:color="auto"/>
            </w:tcBorders>
          </w:tcPr>
          <w:p w:rsidR="00D20A29" w:rsidRPr="00D20A29" w:rsidRDefault="00B85C16" w:rsidP="000311FC">
            <w:pPr>
              <w:spacing w:after="0" w:line="240" w:lineRule="auto"/>
              <w:jc w:val="center"/>
              <w:rPr>
                <w:rFonts w:ascii="Times New Roman" w:eastAsia="MS Mincho" w:hAnsi="Times New Roman" w:cs="Times New Roman"/>
              </w:rPr>
            </w:pPr>
            <w:r w:rsidRPr="00425BAA">
              <w:rPr>
                <w:rFonts w:ascii="Times New Roman" w:eastAsia="MS Mincho" w:hAnsi="Times New Roman" w:cs="Times New Roman"/>
                <w:position w:val="-10"/>
              </w:rPr>
              <w:object w:dxaOrig="380" w:dyaOrig="320">
                <v:shape id="_x0000_i1034" type="#_x0000_t75" style="width:21pt;height:17.25pt" o:ole="">
                  <v:imagedata r:id="rId29" o:title=""/>
                </v:shape>
                <o:OLEObject Type="Embed" ProgID="Equation.3" ShapeID="_x0000_i1034" DrawAspect="Content" ObjectID="_1532632671" r:id="rId30"/>
              </w:object>
            </w:r>
          </w:p>
        </w:tc>
        <w:tc>
          <w:tcPr>
            <w:tcW w:w="2520" w:type="dxa"/>
            <w:gridSpan w:val="2"/>
            <w:tcBorders>
              <w:top w:val="single" w:sz="12" w:space="0" w:color="auto"/>
            </w:tcBorders>
            <w:vAlign w:val="center"/>
          </w:tcPr>
          <w:p w:rsidR="00D20A29" w:rsidRPr="00D20A29" w:rsidRDefault="00D20A29" w:rsidP="000311FC">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1.1</w:t>
            </w:r>
            <w:r w:rsidR="008E59B1">
              <w:rPr>
                <w:rFonts w:ascii="Times New Roman" w:eastAsia="MS Mincho" w:hAnsi="Times New Roman" w:cs="Times New Roman"/>
              </w:rPr>
              <w:t>0</w:t>
            </w:r>
            <w:r w:rsidRPr="00D20A29">
              <w:rPr>
                <w:rFonts w:ascii="Times New Roman" w:eastAsia="MS Mincho" w:hAnsi="Times New Roman" w:cs="Times New Roman"/>
              </w:rPr>
              <w:t xml:space="preserve">    (0.025)</w:t>
            </w:r>
          </w:p>
        </w:tc>
      </w:tr>
      <w:tr w:rsidR="00D20A29" w:rsidRPr="00851BCC" w:rsidTr="00756E38">
        <w:trPr>
          <w:trHeight w:val="73"/>
        </w:trPr>
        <w:tc>
          <w:tcPr>
            <w:tcW w:w="4699" w:type="dxa"/>
            <w:gridSpan w:val="4"/>
            <w:vMerge/>
            <w:vAlign w:val="center"/>
          </w:tcPr>
          <w:p w:rsidR="00D20A29" w:rsidRPr="00D20A29" w:rsidRDefault="00D20A29" w:rsidP="000311FC">
            <w:pPr>
              <w:spacing w:after="0" w:line="240" w:lineRule="auto"/>
              <w:rPr>
                <w:rFonts w:ascii="Times New Roman" w:eastAsia="MS Mincho" w:hAnsi="Times New Roman" w:cs="Times New Roman"/>
              </w:rPr>
            </w:pPr>
          </w:p>
        </w:tc>
        <w:tc>
          <w:tcPr>
            <w:tcW w:w="1530" w:type="dxa"/>
            <w:vAlign w:val="center"/>
          </w:tcPr>
          <w:p w:rsidR="00D20A29" w:rsidRPr="00D20A29" w:rsidRDefault="00425BAA" w:rsidP="000311FC">
            <w:pPr>
              <w:spacing w:after="0" w:line="240" w:lineRule="auto"/>
              <w:jc w:val="center"/>
              <w:rPr>
                <w:rFonts w:ascii="Times New Roman" w:eastAsia="MS Mincho" w:hAnsi="Times New Roman" w:cs="Times New Roman"/>
              </w:rPr>
            </w:pPr>
            <w:r w:rsidRPr="00425BAA">
              <w:rPr>
                <w:rFonts w:ascii="Times New Roman" w:eastAsia="MS Mincho" w:hAnsi="Times New Roman" w:cs="Times New Roman"/>
                <w:position w:val="-10"/>
              </w:rPr>
              <w:object w:dxaOrig="380" w:dyaOrig="320">
                <v:shape id="_x0000_i1035" type="#_x0000_t75" style="width:21pt;height:17.25pt" o:ole="">
                  <v:imagedata r:id="rId31" o:title=""/>
                </v:shape>
                <o:OLEObject Type="Embed" ProgID="Equation.3" ShapeID="_x0000_i1035" DrawAspect="Content" ObjectID="_1532632672" r:id="rId32"/>
              </w:object>
            </w:r>
          </w:p>
        </w:tc>
        <w:tc>
          <w:tcPr>
            <w:tcW w:w="2520" w:type="dxa"/>
            <w:gridSpan w:val="2"/>
            <w:vAlign w:val="center"/>
          </w:tcPr>
          <w:p w:rsidR="00D20A29" w:rsidRPr="00D20A29" w:rsidRDefault="00D20A29" w:rsidP="000311FC">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1.0</w:t>
            </w:r>
            <w:r w:rsidR="008E59B1">
              <w:rPr>
                <w:rFonts w:ascii="Times New Roman" w:eastAsia="MS Mincho" w:hAnsi="Times New Roman" w:cs="Times New Roman"/>
              </w:rPr>
              <w:t>0</w:t>
            </w:r>
            <w:r w:rsidRPr="00D20A29">
              <w:rPr>
                <w:rFonts w:ascii="Times New Roman" w:eastAsia="MS Mincho" w:hAnsi="Times New Roman" w:cs="Times New Roman"/>
              </w:rPr>
              <w:t xml:space="preserve">    (0.023)</w:t>
            </w:r>
          </w:p>
        </w:tc>
      </w:tr>
      <w:tr w:rsidR="00D20A29" w:rsidRPr="00851BCC" w:rsidTr="00756E38">
        <w:tc>
          <w:tcPr>
            <w:tcW w:w="4699" w:type="dxa"/>
            <w:gridSpan w:val="4"/>
            <w:vMerge/>
          </w:tcPr>
          <w:p w:rsidR="00D20A29" w:rsidRPr="00D20A29" w:rsidRDefault="00D20A29" w:rsidP="000311FC">
            <w:pPr>
              <w:spacing w:after="0" w:line="240" w:lineRule="auto"/>
              <w:rPr>
                <w:rFonts w:ascii="Times New Roman" w:eastAsia="MS Mincho" w:hAnsi="Times New Roman" w:cs="Times New Roman"/>
              </w:rPr>
            </w:pPr>
          </w:p>
        </w:tc>
        <w:tc>
          <w:tcPr>
            <w:tcW w:w="1530" w:type="dxa"/>
          </w:tcPr>
          <w:p w:rsidR="00D20A29" w:rsidRPr="00D20A29" w:rsidRDefault="00425BAA" w:rsidP="000311FC">
            <w:pPr>
              <w:spacing w:after="0" w:line="240" w:lineRule="auto"/>
              <w:jc w:val="center"/>
              <w:rPr>
                <w:rFonts w:ascii="Times New Roman" w:eastAsia="MS Mincho" w:hAnsi="Times New Roman" w:cs="Times New Roman"/>
              </w:rPr>
            </w:pPr>
            <w:r w:rsidRPr="00425BAA">
              <w:rPr>
                <w:rFonts w:ascii="Times New Roman" w:eastAsia="MS Mincho" w:hAnsi="Times New Roman" w:cs="Times New Roman"/>
                <w:position w:val="-10"/>
              </w:rPr>
              <w:object w:dxaOrig="340" w:dyaOrig="320">
                <v:shape id="_x0000_i1036" type="#_x0000_t75" style="width:15.75pt;height:17.25pt" o:ole="">
                  <v:imagedata r:id="rId33" o:title=""/>
                </v:shape>
                <o:OLEObject Type="Embed" ProgID="Equation.3" ShapeID="_x0000_i1036" DrawAspect="Content" ObjectID="_1532632673" r:id="rId34"/>
              </w:object>
            </w:r>
          </w:p>
        </w:tc>
        <w:tc>
          <w:tcPr>
            <w:tcW w:w="2520" w:type="dxa"/>
            <w:gridSpan w:val="2"/>
            <w:vAlign w:val="center"/>
          </w:tcPr>
          <w:p w:rsidR="00D20A29" w:rsidRPr="00D20A29" w:rsidRDefault="00D20A29" w:rsidP="000311FC">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t xml:space="preserve">0.93  </w:t>
            </w:r>
            <w:r w:rsidR="000311FC">
              <w:rPr>
                <w:rFonts w:ascii="Times New Roman" w:eastAsia="MS Mincho" w:hAnsi="Times New Roman" w:cs="Times New Roman"/>
              </w:rPr>
              <w:t xml:space="preserve"> </w:t>
            </w:r>
            <w:r w:rsidR="008E59B1">
              <w:rPr>
                <w:rFonts w:ascii="Times New Roman" w:eastAsia="MS Mincho" w:hAnsi="Times New Roman" w:cs="Times New Roman"/>
              </w:rPr>
              <w:t xml:space="preserve"> </w:t>
            </w:r>
            <w:r w:rsidRPr="00D20A29">
              <w:rPr>
                <w:rFonts w:ascii="Times New Roman" w:eastAsia="MS Mincho" w:hAnsi="Times New Roman" w:cs="Times New Roman"/>
              </w:rPr>
              <w:t>(0.021)</w:t>
            </w:r>
          </w:p>
        </w:tc>
      </w:tr>
      <w:tr w:rsidR="00D20A29" w:rsidRPr="00851BCC" w:rsidTr="00756E38">
        <w:tc>
          <w:tcPr>
            <w:tcW w:w="4699" w:type="dxa"/>
            <w:gridSpan w:val="4"/>
          </w:tcPr>
          <w:p w:rsidR="00D20A29" w:rsidRPr="00D20A29" w:rsidRDefault="00D20A29" w:rsidP="00D20A29">
            <w:pPr>
              <w:spacing w:after="0" w:line="240" w:lineRule="auto"/>
              <w:rPr>
                <w:rFonts w:ascii="Times New Roman" w:eastAsia="MS Mincho" w:hAnsi="Times New Roman" w:cs="Times New Roman"/>
              </w:rPr>
            </w:pPr>
            <w:r w:rsidRPr="00D20A29">
              <w:rPr>
                <w:rFonts w:ascii="Times New Roman" w:eastAsia="MS Mincho" w:hAnsi="Times New Roman" w:cs="Times New Roman"/>
              </w:rPr>
              <w:t>Angular Position around the Wellbore, degree</w:t>
            </w:r>
          </w:p>
        </w:tc>
        <w:tc>
          <w:tcPr>
            <w:tcW w:w="1530" w:type="dxa"/>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object w:dxaOrig="200" w:dyaOrig="279">
                <v:shape id="_x0000_i1037" type="#_x0000_t75" style="width:10.5pt;height:14.25pt" o:ole="">
                  <v:imagedata r:id="rId35" o:title=""/>
                </v:shape>
                <o:OLEObject Type="Embed" ProgID="Equation.3" ShapeID="_x0000_i1037" DrawAspect="Content" ObjectID="_1532632674" r:id="rId36"/>
              </w:object>
            </w:r>
          </w:p>
        </w:tc>
        <w:tc>
          <w:tcPr>
            <w:tcW w:w="2520" w:type="dxa"/>
            <w:gridSpan w:val="2"/>
            <w:vAlign w:val="center"/>
          </w:tcPr>
          <w:p w:rsidR="00D20A29" w:rsidRPr="00D20A29" w:rsidRDefault="00B85C16" w:rsidP="00D20A29">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Zero</w:t>
            </w:r>
          </w:p>
        </w:tc>
      </w:tr>
      <w:tr w:rsidR="00D20A29" w:rsidRPr="00851BCC" w:rsidTr="00756E38">
        <w:tc>
          <w:tcPr>
            <w:tcW w:w="4699" w:type="dxa"/>
            <w:gridSpan w:val="4"/>
          </w:tcPr>
          <w:p w:rsidR="00D20A29" w:rsidRPr="00D20A29" w:rsidRDefault="00D20A29" w:rsidP="00D20A29">
            <w:pPr>
              <w:spacing w:after="0" w:line="240" w:lineRule="auto"/>
              <w:rPr>
                <w:rFonts w:ascii="Times New Roman" w:eastAsia="MS Mincho" w:hAnsi="Times New Roman" w:cs="Times New Roman"/>
              </w:rPr>
            </w:pPr>
            <w:r w:rsidRPr="00D20A29">
              <w:rPr>
                <w:rFonts w:ascii="Times New Roman" w:eastAsia="MS Mincho" w:hAnsi="Times New Roman" w:cs="Times New Roman"/>
              </w:rPr>
              <w:t>Wellbor</w:t>
            </w:r>
            <w:r w:rsidR="00667086">
              <w:rPr>
                <w:rFonts w:ascii="Times New Roman" w:eastAsia="MS Mincho" w:hAnsi="Times New Roman" w:cs="Times New Roman"/>
              </w:rPr>
              <w:t xml:space="preserve">e Inclination from Vertical, </w:t>
            </w:r>
            <w:r w:rsidRPr="00D20A29">
              <w:rPr>
                <w:rFonts w:ascii="Times New Roman" w:eastAsia="MS Mincho" w:hAnsi="Times New Roman" w:cs="Times New Roman"/>
              </w:rPr>
              <w:t>degree</w:t>
            </w:r>
          </w:p>
        </w:tc>
        <w:tc>
          <w:tcPr>
            <w:tcW w:w="1530" w:type="dxa"/>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object w:dxaOrig="220" w:dyaOrig="220">
                <v:shape id="_x0000_i1038" type="#_x0000_t75" style="width:10.5pt;height:10.5pt" o:ole="">
                  <v:imagedata r:id="rId37" o:title=""/>
                </v:shape>
                <o:OLEObject Type="Embed" ProgID="Equation.3" ShapeID="_x0000_i1038" DrawAspect="Content" ObjectID="_1532632675" r:id="rId38"/>
              </w:object>
            </w:r>
          </w:p>
        </w:tc>
        <w:tc>
          <w:tcPr>
            <w:tcW w:w="2520" w:type="dxa"/>
            <w:gridSpan w:val="2"/>
            <w:vAlign w:val="center"/>
          </w:tcPr>
          <w:p w:rsidR="00D20A29" w:rsidRPr="00D20A29" w:rsidRDefault="00B85C16" w:rsidP="00B85C16">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Zero</w:t>
            </w:r>
            <w:r w:rsidR="00D20A29" w:rsidRPr="00D20A29">
              <w:rPr>
                <w:rFonts w:ascii="Times New Roman" w:eastAsia="MS Mincho" w:hAnsi="Times New Roman" w:cs="Times New Roman"/>
              </w:rPr>
              <w:t xml:space="preserve"> </w:t>
            </w:r>
            <w:r>
              <w:rPr>
                <w:rFonts w:ascii="Times New Roman" w:eastAsia="MS Mincho" w:hAnsi="Times New Roman" w:cs="Times New Roman"/>
              </w:rPr>
              <w:t>or</w:t>
            </w:r>
            <w:r w:rsidR="00D20A29" w:rsidRPr="00D20A29">
              <w:rPr>
                <w:rFonts w:ascii="Times New Roman" w:eastAsia="MS Mincho" w:hAnsi="Times New Roman" w:cs="Times New Roman"/>
              </w:rPr>
              <w:t xml:space="preserve"> 90</w:t>
            </w:r>
          </w:p>
        </w:tc>
      </w:tr>
      <w:tr w:rsidR="00D20A29" w:rsidRPr="00851BCC" w:rsidTr="00756E38">
        <w:tc>
          <w:tcPr>
            <w:tcW w:w="4699" w:type="dxa"/>
            <w:gridSpan w:val="4"/>
          </w:tcPr>
          <w:p w:rsidR="00D20A29" w:rsidRPr="00D20A29" w:rsidRDefault="00D20A29" w:rsidP="00667086">
            <w:pPr>
              <w:spacing w:after="0" w:line="240" w:lineRule="auto"/>
              <w:rPr>
                <w:rFonts w:ascii="Times New Roman" w:eastAsia="MS Mincho" w:hAnsi="Times New Roman" w:cs="Times New Roman"/>
              </w:rPr>
            </w:pPr>
            <w:r w:rsidRPr="00D20A29">
              <w:rPr>
                <w:rFonts w:ascii="Times New Roman" w:eastAsia="MS Mincho" w:hAnsi="Times New Roman" w:cs="Times New Roman"/>
              </w:rPr>
              <w:t>Wellbore Orientation Angle from</w:t>
            </w:r>
            <w:r w:rsidR="00667086">
              <w:rPr>
                <w:rFonts w:ascii="Times New Roman" w:eastAsia="MS Mincho" w:hAnsi="Times New Roman" w:cs="Times New Roman"/>
              </w:rPr>
              <w:t xml:space="preserve">, </w:t>
            </w:r>
            <w:r w:rsidRPr="00D20A29">
              <w:rPr>
                <w:rFonts w:ascii="Times New Roman" w:eastAsia="MS Mincho" w:hAnsi="Times New Roman" w:cs="Times New Roman"/>
              </w:rPr>
              <w:t>degree</w:t>
            </w:r>
          </w:p>
        </w:tc>
        <w:tc>
          <w:tcPr>
            <w:tcW w:w="1530" w:type="dxa"/>
          </w:tcPr>
          <w:p w:rsidR="00D20A29" w:rsidRPr="00D20A29" w:rsidRDefault="00D20A29" w:rsidP="00D20A29">
            <w:pPr>
              <w:spacing w:after="0" w:line="240" w:lineRule="auto"/>
              <w:jc w:val="center"/>
              <w:rPr>
                <w:rFonts w:ascii="Times New Roman" w:eastAsia="MS Mincho" w:hAnsi="Times New Roman" w:cs="Times New Roman"/>
              </w:rPr>
            </w:pPr>
            <w:r w:rsidRPr="00D20A29">
              <w:rPr>
                <w:rFonts w:ascii="Times New Roman" w:eastAsia="MS Mincho" w:hAnsi="Times New Roman" w:cs="Times New Roman"/>
              </w:rPr>
              <w:object w:dxaOrig="200" w:dyaOrig="320">
                <v:shape id="_x0000_i1039" type="#_x0000_t75" style="width:10.5pt;height:15pt" o:ole="">
                  <v:imagedata r:id="rId39" o:title=""/>
                </v:shape>
                <o:OLEObject Type="Embed" ProgID="Equation.3" ShapeID="_x0000_i1039" DrawAspect="Content" ObjectID="_1532632676" r:id="rId40"/>
              </w:object>
            </w:r>
          </w:p>
        </w:tc>
        <w:tc>
          <w:tcPr>
            <w:tcW w:w="2520" w:type="dxa"/>
            <w:gridSpan w:val="2"/>
            <w:vAlign w:val="center"/>
          </w:tcPr>
          <w:p w:rsidR="00D20A29" w:rsidRPr="00D20A29" w:rsidRDefault="00B85C16" w:rsidP="00B85C16">
            <w:pPr>
              <w:spacing w:after="0" w:line="240" w:lineRule="auto"/>
              <w:ind w:left="-108" w:right="-108"/>
              <w:jc w:val="center"/>
              <w:rPr>
                <w:rFonts w:ascii="Times New Roman" w:eastAsia="MS Mincho" w:hAnsi="Times New Roman" w:cs="Times New Roman"/>
              </w:rPr>
            </w:pPr>
            <w:r>
              <w:rPr>
                <w:rFonts w:ascii="Times New Roman" w:eastAsia="MS Mincho" w:hAnsi="Times New Roman" w:cs="Times New Roman"/>
              </w:rPr>
              <w:t>Zero</w:t>
            </w:r>
            <w:r w:rsidR="00D20A29" w:rsidRPr="00D20A29">
              <w:rPr>
                <w:rFonts w:ascii="Times New Roman" w:eastAsia="MS Mincho" w:hAnsi="Times New Roman" w:cs="Times New Roman"/>
              </w:rPr>
              <w:t xml:space="preserve"> </w:t>
            </w:r>
            <w:r>
              <w:rPr>
                <w:rFonts w:ascii="Times New Roman" w:eastAsia="MS Mincho" w:hAnsi="Times New Roman" w:cs="Times New Roman"/>
              </w:rPr>
              <w:t>or</w:t>
            </w:r>
            <w:r w:rsidR="00D20A29" w:rsidRPr="00D20A29">
              <w:rPr>
                <w:rFonts w:ascii="Times New Roman" w:eastAsia="MS Mincho" w:hAnsi="Times New Roman" w:cs="Times New Roman"/>
              </w:rPr>
              <w:t xml:space="preserve"> 90</w:t>
            </w:r>
          </w:p>
        </w:tc>
      </w:tr>
    </w:tbl>
    <w:p w:rsidR="00EC7EB1" w:rsidRPr="00026777" w:rsidRDefault="00026777" w:rsidP="00026777">
      <w:pPr>
        <w:numPr>
          <w:ilvl w:val="0"/>
          <w:numId w:val="2"/>
        </w:numPr>
        <w:tabs>
          <w:tab w:val="clear" w:pos="1009"/>
          <w:tab w:val="num" w:pos="294"/>
        </w:tabs>
        <w:spacing w:after="0" w:line="240" w:lineRule="exact"/>
        <w:ind w:left="294" w:hanging="294"/>
        <w:jc w:val="both"/>
        <w:rPr>
          <w:rFonts w:ascii="Times New Roman" w:hAnsi="Times New Roman" w:cs="Times New Roman"/>
          <w:b/>
          <w:bCs/>
          <w:lang w:eastAsia="ko-KR"/>
        </w:rPr>
      </w:pPr>
      <w:r w:rsidRPr="00026777">
        <w:rPr>
          <w:rFonts w:ascii="Times New Roman" w:hAnsi="Times New Roman" w:cs="Times New Roman"/>
          <w:b/>
          <w:bCs/>
          <w:lang w:eastAsia="ko-KR"/>
        </w:rPr>
        <w:lastRenderedPageBreak/>
        <w:t>Results And Discussion</w:t>
      </w:r>
    </w:p>
    <w:p w:rsidR="00C35BFB" w:rsidRDefault="00EC7EB1" w:rsidP="007C3267">
      <w:pPr>
        <w:spacing w:after="0" w:line="240" w:lineRule="exact"/>
        <w:ind w:firstLine="289"/>
        <w:jc w:val="both"/>
        <w:rPr>
          <w:rFonts w:ascii="Times New Roman" w:hAnsi="Times New Roman" w:cs="Times New Roman"/>
        </w:rPr>
      </w:pPr>
      <w:r w:rsidRPr="00756E38">
        <w:rPr>
          <w:rFonts w:ascii="Times New Roman" w:hAnsi="Times New Roman" w:cs="Times New Roman"/>
        </w:rPr>
        <w:t>The developed model was used to predict the safe wellbore pressure required for safe underbalanced drilling, managed pressure drilling, and overbalanced drilling in vertical and horizontal wells in three types of formations (rock g</w:t>
      </w:r>
      <w:r w:rsidR="00756E38" w:rsidRPr="00756E38">
        <w:rPr>
          <w:rFonts w:ascii="Times New Roman" w:hAnsi="Times New Roman" w:cs="Times New Roman"/>
        </w:rPr>
        <w:t>rades) (ISRM, 1978)</w:t>
      </w:r>
      <w:r w:rsidRPr="00756E38">
        <w:rPr>
          <w:rFonts w:ascii="Times New Roman" w:hAnsi="Times New Roman" w:cs="Times New Roman"/>
        </w:rPr>
        <w:t xml:space="preserve"> namely, very weak (R1), weak (R2), and </w:t>
      </w:r>
      <w:r w:rsidR="00607D6D">
        <w:rPr>
          <w:rFonts w:ascii="Times New Roman" w:hAnsi="Times New Roman" w:cs="Times New Roman"/>
        </w:rPr>
        <w:t>medium</w:t>
      </w:r>
      <w:r w:rsidRPr="00756E38">
        <w:rPr>
          <w:rFonts w:ascii="Times New Roman" w:hAnsi="Times New Roman" w:cs="Times New Roman"/>
        </w:rPr>
        <w:t xml:space="preserve"> strong (R3) rocks as shown in Table 1.  </w:t>
      </w:r>
      <w:r w:rsidR="00667086" w:rsidRPr="00756E38">
        <w:rPr>
          <w:rFonts w:ascii="Times New Roman" w:hAnsi="Times New Roman" w:cs="Times New Roman"/>
        </w:rPr>
        <w:t>Fig</w:t>
      </w:r>
      <w:r w:rsidRPr="00756E38">
        <w:rPr>
          <w:rFonts w:ascii="Times New Roman" w:hAnsi="Times New Roman" w:cs="Times New Roman"/>
        </w:rPr>
        <w:t>s</w:t>
      </w:r>
      <w:r w:rsidR="00667086" w:rsidRPr="00756E38">
        <w:rPr>
          <w:rFonts w:ascii="Times New Roman" w:hAnsi="Times New Roman" w:cs="Times New Roman"/>
        </w:rPr>
        <w:t>.</w:t>
      </w:r>
      <w:r w:rsidRPr="00756E38">
        <w:rPr>
          <w:rFonts w:ascii="Times New Roman" w:hAnsi="Times New Roman" w:cs="Times New Roman"/>
        </w:rPr>
        <w:t xml:space="preserve"> 4, 5, and 6 are the predictions for safe wellbore pressure windows for hypothetical vertical wells. </w:t>
      </w:r>
      <w:r w:rsidRPr="007C3267">
        <w:rPr>
          <w:rFonts w:ascii="Times New Roman" w:hAnsi="Times New Roman" w:cs="Times New Roman"/>
        </w:rPr>
        <w:t>For the very weak formation</w:t>
      </w:r>
      <w:r w:rsidR="00607D6D" w:rsidRPr="007C3267">
        <w:rPr>
          <w:rFonts w:ascii="Times New Roman" w:hAnsi="Times New Roman" w:cs="Times New Roman"/>
        </w:rPr>
        <w:t xml:space="preserve"> (R1)</w:t>
      </w:r>
      <w:r w:rsidRPr="007C3267">
        <w:rPr>
          <w:rFonts w:ascii="Times New Roman" w:hAnsi="Times New Roman" w:cs="Times New Roman"/>
        </w:rPr>
        <w:t>, it was found that there are three safe possibilities to utilize OBD, MPD, and UBD with minimum wellbore pressure (collapse) and maximum wellbore pressure (lost circulation) limits of -</w:t>
      </w:r>
      <w:r w:rsidR="00921C53" w:rsidRPr="007C3267">
        <w:rPr>
          <w:rFonts w:ascii="Times New Roman" w:hAnsi="Times New Roman" w:cs="Times New Roman"/>
        </w:rPr>
        <w:t>1</w:t>
      </w:r>
      <w:r w:rsidRPr="007C3267">
        <w:rPr>
          <w:rFonts w:ascii="Times New Roman" w:hAnsi="Times New Roman" w:cs="Times New Roman"/>
        </w:rPr>
        <w:t>9.</w:t>
      </w:r>
      <w:r w:rsidR="00921C53" w:rsidRPr="007C3267">
        <w:rPr>
          <w:rFonts w:ascii="Times New Roman" w:hAnsi="Times New Roman" w:cs="Times New Roman"/>
        </w:rPr>
        <w:t>4</w:t>
      </w:r>
      <w:r w:rsidRPr="007C3267">
        <w:rPr>
          <w:rFonts w:ascii="Times New Roman" w:hAnsi="Times New Roman" w:cs="Times New Roman"/>
        </w:rPr>
        <w:t xml:space="preserve"> MPa and +</w:t>
      </w:r>
      <w:r w:rsidR="00921C53" w:rsidRPr="007C3267">
        <w:rPr>
          <w:rFonts w:ascii="Times New Roman" w:hAnsi="Times New Roman" w:cs="Times New Roman"/>
        </w:rPr>
        <w:t>3</w:t>
      </w:r>
      <w:r w:rsidRPr="007C3267">
        <w:rPr>
          <w:rFonts w:ascii="Times New Roman" w:hAnsi="Times New Roman" w:cs="Times New Roman"/>
        </w:rPr>
        <w:t xml:space="preserve">.2 MPa respectively as shown in </w:t>
      </w:r>
      <w:r w:rsidR="00667086" w:rsidRPr="007C3267">
        <w:rPr>
          <w:rFonts w:ascii="Times New Roman" w:hAnsi="Times New Roman" w:cs="Times New Roman"/>
        </w:rPr>
        <w:t>Fig.</w:t>
      </w:r>
      <w:r w:rsidRPr="007C3267">
        <w:rPr>
          <w:rFonts w:ascii="Times New Roman" w:hAnsi="Times New Roman" w:cs="Times New Roman"/>
        </w:rPr>
        <w:t xml:space="preserve"> 4.  </w:t>
      </w:r>
    </w:p>
    <w:p w:rsidR="00C35BFB" w:rsidRDefault="00EC7EB1" w:rsidP="007C3267">
      <w:pPr>
        <w:spacing w:after="0" w:line="240" w:lineRule="exact"/>
        <w:ind w:firstLine="289"/>
        <w:jc w:val="both"/>
        <w:rPr>
          <w:rFonts w:ascii="Times New Roman" w:hAnsi="Times New Roman" w:cs="Times New Roman"/>
        </w:rPr>
      </w:pPr>
      <w:r w:rsidRPr="007C3267">
        <w:rPr>
          <w:rFonts w:ascii="Times New Roman" w:hAnsi="Times New Roman" w:cs="Times New Roman"/>
        </w:rPr>
        <w:t>For the weak formation</w:t>
      </w:r>
      <w:r w:rsidR="00795179" w:rsidRPr="007C3267">
        <w:rPr>
          <w:rFonts w:ascii="Times New Roman" w:hAnsi="Times New Roman" w:cs="Times New Roman"/>
        </w:rPr>
        <w:t xml:space="preserve"> (R2)</w:t>
      </w:r>
      <w:r w:rsidRPr="007C3267">
        <w:rPr>
          <w:rFonts w:ascii="Times New Roman" w:hAnsi="Times New Roman" w:cs="Times New Roman"/>
        </w:rPr>
        <w:t>, stable vertical wells can be d</w:t>
      </w:r>
      <w:r w:rsidR="00795179" w:rsidRPr="007C3267">
        <w:rPr>
          <w:rFonts w:ascii="Times New Roman" w:hAnsi="Times New Roman" w:cs="Times New Roman"/>
        </w:rPr>
        <w:t xml:space="preserve">rilled using UBD, MPD, or OBD. </w:t>
      </w:r>
      <w:r w:rsidRPr="007C3267">
        <w:rPr>
          <w:rFonts w:ascii="Times New Roman" w:hAnsi="Times New Roman" w:cs="Times New Roman"/>
        </w:rPr>
        <w:t>The minimum wellbore pressure (collapse) and maximum wellbore pressure (lost circulation) limits for this case are -29.2 MPa and +</w:t>
      </w:r>
      <w:r w:rsidR="00795179" w:rsidRPr="007C3267">
        <w:rPr>
          <w:rFonts w:ascii="Times New Roman" w:hAnsi="Times New Roman" w:cs="Times New Roman"/>
        </w:rPr>
        <w:t>8</w:t>
      </w:r>
      <w:r w:rsidRPr="007C3267">
        <w:rPr>
          <w:rFonts w:ascii="Times New Roman" w:hAnsi="Times New Roman" w:cs="Times New Roman"/>
        </w:rPr>
        <w:t xml:space="preserve">.1 MPa respectively as shown in </w:t>
      </w:r>
      <w:r w:rsidR="00667086" w:rsidRPr="007C3267">
        <w:rPr>
          <w:rFonts w:ascii="Times New Roman" w:hAnsi="Times New Roman" w:cs="Times New Roman"/>
        </w:rPr>
        <w:t>Fig.</w:t>
      </w:r>
      <w:r w:rsidRPr="007C3267">
        <w:rPr>
          <w:rFonts w:ascii="Times New Roman" w:hAnsi="Times New Roman" w:cs="Times New Roman"/>
        </w:rPr>
        <w:t xml:space="preserve"> 5.  </w:t>
      </w:r>
    </w:p>
    <w:p w:rsidR="00EC7EB1" w:rsidRPr="00026777" w:rsidRDefault="00EC7EB1" w:rsidP="007C3267">
      <w:pPr>
        <w:spacing w:after="0" w:line="240" w:lineRule="exact"/>
        <w:ind w:firstLine="289"/>
        <w:jc w:val="both"/>
        <w:rPr>
          <w:rFonts w:ascii="Times New Roman" w:hAnsi="Times New Roman" w:cs="Times New Roman"/>
        </w:rPr>
      </w:pPr>
      <w:r w:rsidRPr="007C3267">
        <w:rPr>
          <w:rFonts w:ascii="Times New Roman" w:hAnsi="Times New Roman" w:cs="Times New Roman"/>
        </w:rPr>
        <w:t xml:space="preserve">For the </w:t>
      </w:r>
      <w:r w:rsidR="00795179" w:rsidRPr="007C3267">
        <w:rPr>
          <w:rFonts w:ascii="Times New Roman" w:hAnsi="Times New Roman" w:cs="Times New Roman"/>
        </w:rPr>
        <w:t>medium</w:t>
      </w:r>
      <w:r w:rsidRPr="007C3267">
        <w:rPr>
          <w:rFonts w:ascii="Times New Roman" w:hAnsi="Times New Roman" w:cs="Times New Roman"/>
        </w:rPr>
        <w:t xml:space="preserve"> strong formation</w:t>
      </w:r>
      <w:r w:rsidR="00795179" w:rsidRPr="007C3267">
        <w:rPr>
          <w:rFonts w:ascii="Times New Roman" w:hAnsi="Times New Roman" w:cs="Times New Roman"/>
        </w:rPr>
        <w:t xml:space="preserve"> (R3)</w:t>
      </w:r>
      <w:r w:rsidRPr="007C3267">
        <w:rPr>
          <w:rFonts w:ascii="Times New Roman" w:hAnsi="Times New Roman" w:cs="Times New Roman"/>
        </w:rPr>
        <w:t>, stable vertical wells can be drilled using UBD,</w:t>
      </w:r>
      <w:r w:rsidR="00795179" w:rsidRPr="007C3267">
        <w:rPr>
          <w:rFonts w:ascii="Times New Roman" w:hAnsi="Times New Roman" w:cs="Times New Roman"/>
        </w:rPr>
        <w:t xml:space="preserve"> MPD, or OBD. </w:t>
      </w:r>
      <w:r w:rsidRPr="007C3267">
        <w:rPr>
          <w:rFonts w:ascii="Times New Roman" w:hAnsi="Times New Roman" w:cs="Times New Roman"/>
        </w:rPr>
        <w:t>The minimum wellbore pressure (collapse) and maximum wellbore pressure (lost circulation) limits for this case are -</w:t>
      </w:r>
      <w:r w:rsidR="00795179" w:rsidRPr="007C3267">
        <w:rPr>
          <w:rFonts w:ascii="Times New Roman" w:hAnsi="Times New Roman" w:cs="Times New Roman"/>
        </w:rPr>
        <w:t>3</w:t>
      </w:r>
      <w:r w:rsidRPr="007C3267">
        <w:rPr>
          <w:rFonts w:ascii="Times New Roman" w:hAnsi="Times New Roman" w:cs="Times New Roman"/>
        </w:rPr>
        <w:t>9.4 MPa and +</w:t>
      </w:r>
      <w:r w:rsidR="00795179" w:rsidRPr="007C3267">
        <w:rPr>
          <w:rFonts w:ascii="Times New Roman" w:hAnsi="Times New Roman" w:cs="Times New Roman"/>
        </w:rPr>
        <w:t>11</w:t>
      </w:r>
      <w:r w:rsidRPr="007C3267">
        <w:rPr>
          <w:rFonts w:ascii="Times New Roman" w:hAnsi="Times New Roman" w:cs="Times New Roman"/>
        </w:rPr>
        <w:t xml:space="preserve">.2 MPa respectively as shown in </w:t>
      </w:r>
      <w:r w:rsidR="00667086" w:rsidRPr="007C3267">
        <w:rPr>
          <w:rFonts w:ascii="Times New Roman" w:hAnsi="Times New Roman" w:cs="Times New Roman"/>
        </w:rPr>
        <w:t>Fig.</w:t>
      </w:r>
      <w:r w:rsidRPr="007C3267">
        <w:rPr>
          <w:rFonts w:ascii="Times New Roman" w:hAnsi="Times New Roman" w:cs="Times New Roman"/>
        </w:rPr>
        <w:t xml:space="preserve"> 6.</w:t>
      </w:r>
      <w:r w:rsidRPr="00756E38">
        <w:rPr>
          <w:rFonts w:ascii="Times New Roman" w:hAnsi="Times New Roman" w:cs="Times New Roman"/>
        </w:rPr>
        <w:t xml:space="preserve">  </w:t>
      </w:r>
      <w:r w:rsidRPr="00026777">
        <w:rPr>
          <w:rFonts w:ascii="Times New Roman" w:hAnsi="Times New Roman" w:cs="Times New Roman"/>
        </w:rPr>
        <w:t xml:space="preserve">It is clear that the safe drilling window was getting wider as the formation to be drilled is getting stronger as shown in </w:t>
      </w:r>
      <w:r w:rsidR="00667086">
        <w:rPr>
          <w:rFonts w:ascii="Times New Roman" w:hAnsi="Times New Roman" w:cs="Times New Roman"/>
        </w:rPr>
        <w:t>Fig.</w:t>
      </w:r>
      <w:r w:rsidRPr="00026777">
        <w:rPr>
          <w:rFonts w:ascii="Times New Roman" w:hAnsi="Times New Roman" w:cs="Times New Roman"/>
        </w:rPr>
        <w:t xml:space="preserve"> 7.  Table 2 summarizes all the studied cases.  </w:t>
      </w:r>
    </w:p>
    <w:p w:rsidR="00F83B0A" w:rsidRDefault="00EC7EB1" w:rsidP="00C35BFB">
      <w:pPr>
        <w:spacing w:after="0" w:line="240" w:lineRule="exact"/>
        <w:ind w:firstLine="289"/>
        <w:jc w:val="both"/>
        <w:rPr>
          <w:rFonts w:ascii="Times New Roman" w:hAnsi="Times New Roman" w:cs="Times New Roman"/>
        </w:rPr>
      </w:pPr>
      <w:r w:rsidRPr="00026777">
        <w:rPr>
          <w:rFonts w:ascii="Times New Roman" w:hAnsi="Times New Roman" w:cs="Times New Roman"/>
        </w:rPr>
        <w:t xml:space="preserve">For horizontal well drilling possibilities, it was found that it is unsafe to utilize UBD or MPD in the very weak </w:t>
      </w:r>
      <w:r w:rsidR="007C3267">
        <w:rPr>
          <w:rFonts w:ascii="Times New Roman" w:hAnsi="Times New Roman" w:cs="Times New Roman"/>
        </w:rPr>
        <w:t>(R1)</w:t>
      </w:r>
      <w:r w:rsidR="007C3267" w:rsidRPr="007C3267">
        <w:rPr>
          <w:rFonts w:ascii="Times New Roman" w:hAnsi="Times New Roman" w:cs="Times New Roman"/>
        </w:rPr>
        <w:t xml:space="preserve"> </w:t>
      </w:r>
      <w:r w:rsidR="007C3267">
        <w:rPr>
          <w:rFonts w:ascii="Times New Roman" w:hAnsi="Times New Roman" w:cs="Times New Roman"/>
        </w:rPr>
        <w:t xml:space="preserve">formation and safe </w:t>
      </w:r>
      <w:r w:rsidRPr="00026777">
        <w:rPr>
          <w:rFonts w:ascii="Times New Roman" w:hAnsi="Times New Roman" w:cs="Times New Roman"/>
        </w:rPr>
        <w:t xml:space="preserve">for </w:t>
      </w:r>
      <w:r w:rsidR="007C3267">
        <w:rPr>
          <w:rFonts w:ascii="Times New Roman" w:hAnsi="Times New Roman" w:cs="Times New Roman"/>
        </w:rPr>
        <w:t xml:space="preserve">both </w:t>
      </w:r>
      <w:r w:rsidRPr="00026777">
        <w:rPr>
          <w:rFonts w:ascii="Times New Roman" w:hAnsi="Times New Roman" w:cs="Times New Roman"/>
        </w:rPr>
        <w:t xml:space="preserve">the </w:t>
      </w:r>
      <w:r w:rsidR="007C3267">
        <w:rPr>
          <w:rFonts w:ascii="Times New Roman" w:hAnsi="Times New Roman" w:cs="Times New Roman"/>
        </w:rPr>
        <w:t>weak (R1) and medium</w:t>
      </w:r>
      <w:r w:rsidRPr="00026777">
        <w:rPr>
          <w:rFonts w:ascii="Times New Roman" w:hAnsi="Times New Roman" w:cs="Times New Roman"/>
        </w:rPr>
        <w:t xml:space="preserve"> strong</w:t>
      </w:r>
      <w:r w:rsidR="007C3267">
        <w:rPr>
          <w:rFonts w:ascii="Times New Roman" w:hAnsi="Times New Roman" w:cs="Times New Roman"/>
        </w:rPr>
        <w:t xml:space="preserve"> (R3)</w:t>
      </w:r>
      <w:r w:rsidRPr="00026777">
        <w:rPr>
          <w:rFonts w:ascii="Times New Roman" w:hAnsi="Times New Roman" w:cs="Times New Roman"/>
        </w:rPr>
        <w:t xml:space="preserve"> formation</w:t>
      </w:r>
      <w:r w:rsidR="007C3267">
        <w:rPr>
          <w:rFonts w:ascii="Times New Roman" w:hAnsi="Times New Roman" w:cs="Times New Roman"/>
        </w:rPr>
        <w:t xml:space="preserve">s. </w:t>
      </w:r>
      <w:r w:rsidR="00667086" w:rsidRPr="00EF47F7">
        <w:rPr>
          <w:rFonts w:ascii="Times New Roman" w:hAnsi="Times New Roman" w:cs="Times New Roman"/>
        </w:rPr>
        <w:t xml:space="preserve">The safe wellbore pressure for horizontal wells drilled parallel to the </w:t>
      </w:r>
      <w:r w:rsidR="00DE227F" w:rsidRPr="00EF47F7">
        <w:rPr>
          <w:rFonts w:ascii="Times New Roman" w:hAnsi="Times New Roman" w:cs="Times New Roman"/>
        </w:rPr>
        <w:t>minimum</w:t>
      </w:r>
      <w:r w:rsidR="00667086" w:rsidRPr="00EF47F7">
        <w:rPr>
          <w:rFonts w:ascii="Times New Roman" w:hAnsi="Times New Roman" w:cs="Times New Roman"/>
        </w:rPr>
        <w:t xml:space="preserve"> horizontal principal in-situ stress in the </w:t>
      </w:r>
      <w:r w:rsidR="00DE227F" w:rsidRPr="00EF47F7">
        <w:rPr>
          <w:rFonts w:ascii="Times New Roman" w:hAnsi="Times New Roman" w:cs="Times New Roman"/>
        </w:rPr>
        <w:t>medium</w:t>
      </w:r>
      <w:r w:rsidR="00667086" w:rsidRPr="00EF47F7">
        <w:rPr>
          <w:rFonts w:ascii="Times New Roman" w:hAnsi="Times New Roman" w:cs="Times New Roman"/>
        </w:rPr>
        <w:t xml:space="preserve"> strong</w:t>
      </w:r>
      <w:r w:rsidR="00DE227F" w:rsidRPr="00EF47F7">
        <w:rPr>
          <w:rFonts w:ascii="Times New Roman" w:hAnsi="Times New Roman" w:cs="Times New Roman"/>
        </w:rPr>
        <w:t xml:space="preserve"> (R3)</w:t>
      </w:r>
      <w:r w:rsidR="00667086" w:rsidRPr="00EF47F7">
        <w:rPr>
          <w:rFonts w:ascii="Times New Roman" w:hAnsi="Times New Roman" w:cs="Times New Roman"/>
        </w:rPr>
        <w:t xml:space="preserve"> formation is ranging between -38.2 </w:t>
      </w:r>
      <w:r w:rsidR="00F83B0A" w:rsidRPr="00EF47F7">
        <w:rPr>
          <w:rFonts w:ascii="Times New Roman" w:hAnsi="Times New Roman" w:cs="Times New Roman"/>
        </w:rPr>
        <w:t>MPa and +</w:t>
      </w:r>
      <w:r w:rsidR="00DE227F" w:rsidRPr="00EF47F7">
        <w:rPr>
          <w:rFonts w:ascii="Times New Roman" w:hAnsi="Times New Roman" w:cs="Times New Roman"/>
        </w:rPr>
        <w:t>11</w:t>
      </w:r>
      <w:r w:rsidR="00F83B0A" w:rsidRPr="00EF47F7">
        <w:rPr>
          <w:rFonts w:ascii="Times New Roman" w:hAnsi="Times New Roman" w:cs="Times New Roman"/>
        </w:rPr>
        <w:t>.2 as shown in Fig.</w:t>
      </w:r>
      <w:r w:rsidR="00667086" w:rsidRPr="00EF47F7">
        <w:rPr>
          <w:rFonts w:ascii="Times New Roman" w:hAnsi="Times New Roman" w:cs="Times New Roman"/>
        </w:rPr>
        <w:t xml:space="preserve"> 8</w:t>
      </w:r>
      <w:r w:rsidR="00512431">
        <w:rPr>
          <w:rFonts w:ascii="Times New Roman" w:hAnsi="Times New Roman" w:cs="Times New Roman"/>
        </w:rPr>
        <w:t xml:space="preserve"> and Table 3</w:t>
      </w:r>
      <w:r w:rsidR="00667086" w:rsidRPr="00EF47F7">
        <w:rPr>
          <w:rFonts w:ascii="Times New Roman" w:hAnsi="Times New Roman" w:cs="Times New Roman"/>
        </w:rPr>
        <w:t xml:space="preserve">. For horizontal wells drilled parallel to the </w:t>
      </w:r>
      <w:r w:rsidR="00DE227F" w:rsidRPr="00EF47F7">
        <w:rPr>
          <w:rFonts w:ascii="Times New Roman" w:hAnsi="Times New Roman" w:cs="Times New Roman"/>
        </w:rPr>
        <w:t>maximum</w:t>
      </w:r>
      <w:r w:rsidR="00667086" w:rsidRPr="00EF47F7">
        <w:rPr>
          <w:rFonts w:ascii="Times New Roman" w:hAnsi="Times New Roman" w:cs="Times New Roman"/>
        </w:rPr>
        <w:t xml:space="preserve"> horizontal principal in-situ stress in the </w:t>
      </w:r>
      <w:r w:rsidR="00E32EE2">
        <w:rPr>
          <w:rFonts w:ascii="Times New Roman" w:hAnsi="Times New Roman" w:cs="Times New Roman"/>
        </w:rPr>
        <w:t>medium</w:t>
      </w:r>
      <w:r w:rsidR="00667086" w:rsidRPr="00EF47F7">
        <w:rPr>
          <w:rFonts w:ascii="Times New Roman" w:hAnsi="Times New Roman" w:cs="Times New Roman"/>
        </w:rPr>
        <w:t xml:space="preserve"> strong formation</w:t>
      </w:r>
      <w:r w:rsidR="00E32EE2">
        <w:rPr>
          <w:rFonts w:ascii="Times New Roman" w:hAnsi="Times New Roman" w:cs="Times New Roman"/>
        </w:rPr>
        <w:t xml:space="preserve"> (R3)</w:t>
      </w:r>
      <w:r w:rsidR="00667086" w:rsidRPr="00EF47F7">
        <w:rPr>
          <w:rFonts w:ascii="Times New Roman" w:hAnsi="Times New Roman" w:cs="Times New Roman"/>
        </w:rPr>
        <w:t>, the safe wellbore pressure range was -33.3 MPa</w:t>
      </w:r>
      <w:r w:rsidR="00F83B0A" w:rsidRPr="00EF47F7">
        <w:rPr>
          <w:rFonts w:ascii="Times New Roman" w:hAnsi="Times New Roman" w:cs="Times New Roman"/>
        </w:rPr>
        <w:t xml:space="preserve"> to +</w:t>
      </w:r>
      <w:r w:rsidR="00DE227F" w:rsidRPr="00EF47F7">
        <w:rPr>
          <w:rFonts w:ascii="Times New Roman" w:hAnsi="Times New Roman" w:cs="Times New Roman"/>
        </w:rPr>
        <w:t>11</w:t>
      </w:r>
      <w:r w:rsidR="00F83B0A" w:rsidRPr="00EF47F7">
        <w:rPr>
          <w:rFonts w:ascii="Times New Roman" w:hAnsi="Times New Roman" w:cs="Times New Roman"/>
        </w:rPr>
        <w:t>.2 MPa as shown in Fig.</w:t>
      </w:r>
      <w:r w:rsidR="00667086" w:rsidRPr="00EF47F7">
        <w:rPr>
          <w:rFonts w:ascii="Times New Roman" w:hAnsi="Times New Roman" w:cs="Times New Roman"/>
        </w:rPr>
        <w:t xml:space="preserve"> 9</w:t>
      </w:r>
      <w:r w:rsidR="00512431">
        <w:rPr>
          <w:rFonts w:ascii="Times New Roman" w:hAnsi="Times New Roman" w:cs="Times New Roman"/>
        </w:rPr>
        <w:t xml:space="preserve"> and Table 3.</w:t>
      </w:r>
      <w:r w:rsidR="00C35BFB">
        <w:rPr>
          <w:rFonts w:ascii="Times New Roman" w:hAnsi="Times New Roman" w:cs="Times New Roman"/>
        </w:rPr>
        <w:t xml:space="preserve">  </w:t>
      </w:r>
    </w:p>
    <w:p w:rsidR="00C35BFB" w:rsidRDefault="00046D93" w:rsidP="00046D93">
      <w:pPr>
        <w:spacing w:after="0" w:line="240" w:lineRule="exact"/>
        <w:ind w:firstLine="289"/>
        <w:jc w:val="both"/>
        <w:rPr>
          <w:rFonts w:ascii="Times New Roman" w:hAnsi="Times New Roman" w:cs="Times New Roman"/>
        </w:rPr>
      </w:pPr>
      <w:r w:rsidRPr="005D5EEC">
        <w:rPr>
          <w:rFonts w:ascii="Times New Roman" w:hAnsi="Times New Roman" w:cs="Times New Roman"/>
        </w:rPr>
        <w:t>Data tabulated in Tables 2 through 5 are plotted in F</w:t>
      </w:r>
      <w:r>
        <w:rPr>
          <w:rFonts w:ascii="Times New Roman" w:hAnsi="Times New Roman" w:cs="Times New Roman"/>
        </w:rPr>
        <w:t>ig.</w:t>
      </w:r>
      <w:r w:rsidRPr="005D5EEC">
        <w:rPr>
          <w:rFonts w:ascii="Times New Roman" w:hAnsi="Times New Roman" w:cs="Times New Roman"/>
        </w:rPr>
        <w:t xml:space="preserve"> 10. It can be noticed that the safe drilling window decreases as the formation strength decreases.  Furthermore, the most decease in drilling window was for the horizontal well drilled parallel to the maximum principal horizontal in-situ stress. </w:t>
      </w:r>
    </w:p>
    <w:p w:rsidR="00046D93" w:rsidRPr="005D5EEC" w:rsidRDefault="00C35BFB" w:rsidP="00046D93">
      <w:pPr>
        <w:spacing w:after="0" w:line="240" w:lineRule="exact"/>
        <w:ind w:firstLine="289"/>
        <w:jc w:val="both"/>
        <w:rPr>
          <w:rFonts w:ascii="Times New Roman" w:hAnsi="Times New Roman" w:cs="Times New Roman"/>
        </w:rPr>
      </w:pPr>
      <w:r w:rsidRPr="005D5EEC">
        <w:rPr>
          <w:rFonts w:ascii="Times New Roman" w:hAnsi="Times New Roman" w:cs="Times New Roman"/>
        </w:rPr>
        <w:t xml:space="preserve">This difference is attributed to the difference in shear stresses at each orientation which is equal to 0.10 </w:t>
      </w:r>
      <w:r>
        <w:rPr>
          <w:rFonts w:ascii="Times New Roman" w:hAnsi="Times New Roman" w:cs="Times New Roman"/>
        </w:rPr>
        <w:t xml:space="preserve">psi/ft (0.02 </w:t>
      </w:r>
      <w:r w:rsidRPr="005D5EEC">
        <w:rPr>
          <w:rFonts w:ascii="Times New Roman" w:hAnsi="Times New Roman" w:cs="Times New Roman"/>
        </w:rPr>
        <w:t>MPa/m</w:t>
      </w:r>
      <w:r>
        <w:rPr>
          <w:rFonts w:ascii="Times New Roman" w:hAnsi="Times New Roman" w:cs="Times New Roman"/>
        </w:rPr>
        <w:t>)</w:t>
      </w:r>
      <w:r w:rsidRPr="005D5EEC">
        <w:rPr>
          <w:rFonts w:ascii="Times New Roman" w:hAnsi="Times New Roman" w:cs="Times New Roman"/>
        </w:rPr>
        <w:t xml:space="preserve"> for horizontal wells drilled parallel to the </w:t>
      </w:r>
      <w:r>
        <w:rPr>
          <w:rFonts w:ascii="Times New Roman" w:hAnsi="Times New Roman" w:cs="Times New Roman"/>
        </w:rPr>
        <w:t>maximum</w:t>
      </w:r>
      <w:r w:rsidRPr="005D5EEC">
        <w:rPr>
          <w:rFonts w:ascii="Times New Roman" w:hAnsi="Times New Roman" w:cs="Times New Roman"/>
        </w:rPr>
        <w:t xml:space="preserve"> horizontal principal in-situ stress and 0.17</w:t>
      </w:r>
      <w:r>
        <w:rPr>
          <w:rFonts w:ascii="Times New Roman" w:hAnsi="Times New Roman" w:cs="Times New Roman"/>
        </w:rPr>
        <w:t xml:space="preserve"> psi/ft</w:t>
      </w:r>
      <w:r w:rsidRPr="005D5EEC">
        <w:rPr>
          <w:rFonts w:ascii="Times New Roman" w:hAnsi="Times New Roman" w:cs="Times New Roman"/>
        </w:rPr>
        <w:t xml:space="preserve"> </w:t>
      </w:r>
      <w:r>
        <w:rPr>
          <w:rFonts w:ascii="Times New Roman" w:hAnsi="Times New Roman" w:cs="Times New Roman"/>
        </w:rPr>
        <w:t xml:space="preserve">(0.04 </w:t>
      </w:r>
      <w:r w:rsidRPr="005D5EEC">
        <w:rPr>
          <w:rFonts w:ascii="Times New Roman" w:hAnsi="Times New Roman" w:cs="Times New Roman"/>
        </w:rPr>
        <w:t>MPa/m</w:t>
      </w:r>
      <w:r>
        <w:rPr>
          <w:rFonts w:ascii="Times New Roman" w:hAnsi="Times New Roman" w:cs="Times New Roman"/>
        </w:rPr>
        <w:t>)</w:t>
      </w:r>
      <w:r w:rsidRPr="005D5EEC">
        <w:rPr>
          <w:rFonts w:ascii="Times New Roman" w:hAnsi="Times New Roman" w:cs="Times New Roman"/>
        </w:rPr>
        <w:t xml:space="preserve"> for horizontal wells drilled parallel to the </w:t>
      </w:r>
      <w:r>
        <w:rPr>
          <w:rFonts w:ascii="Times New Roman" w:hAnsi="Times New Roman" w:cs="Times New Roman"/>
        </w:rPr>
        <w:t>minimum</w:t>
      </w:r>
      <w:r w:rsidRPr="005D5EEC">
        <w:rPr>
          <w:rFonts w:ascii="Times New Roman" w:hAnsi="Times New Roman" w:cs="Times New Roman"/>
        </w:rPr>
        <w:t xml:space="preserve"> horizontal principal in-situ stress.</w:t>
      </w:r>
    </w:p>
    <w:p w:rsidR="00425BAA" w:rsidRPr="005D5EEC" w:rsidRDefault="00A8408C" w:rsidP="00336D52">
      <w:pPr>
        <w:numPr>
          <w:ilvl w:val="0"/>
          <w:numId w:val="2"/>
        </w:numPr>
        <w:tabs>
          <w:tab w:val="clear" w:pos="1009"/>
          <w:tab w:val="num" w:pos="294"/>
        </w:tabs>
        <w:spacing w:before="360" w:after="0" w:line="240" w:lineRule="exact"/>
        <w:ind w:left="294" w:hanging="294"/>
        <w:jc w:val="both"/>
        <w:rPr>
          <w:rFonts w:ascii="Times New Roman" w:hAnsi="Times New Roman" w:cs="Times New Roman"/>
          <w:b/>
          <w:bCs/>
          <w:lang w:eastAsia="ko-KR"/>
        </w:rPr>
      </w:pPr>
      <w:r w:rsidRPr="005D5EEC">
        <w:rPr>
          <w:rFonts w:ascii="Times New Roman" w:hAnsi="Times New Roman" w:cs="Times New Roman"/>
          <w:b/>
          <w:bCs/>
          <w:lang w:eastAsia="ko-KR"/>
        </w:rPr>
        <w:t>Conclusions</w:t>
      </w:r>
    </w:p>
    <w:p w:rsidR="00425BAA" w:rsidRDefault="00425BAA" w:rsidP="00425BAA">
      <w:pPr>
        <w:spacing w:after="0" w:line="240" w:lineRule="exact"/>
        <w:ind w:firstLine="289"/>
        <w:jc w:val="both"/>
        <w:rPr>
          <w:rFonts w:ascii="Times New Roman" w:hAnsi="Times New Roman" w:cs="Times New Roman"/>
        </w:rPr>
      </w:pPr>
      <w:r w:rsidRPr="005D5EEC">
        <w:rPr>
          <w:rFonts w:ascii="Times New Roman" w:hAnsi="Times New Roman" w:cs="Times New Roman"/>
        </w:rPr>
        <w:t>Based on the analysis of the output data obtained using the mathematical model and the hypothetical formation data presented in this study, the following conclusions are attained:</w:t>
      </w:r>
    </w:p>
    <w:p w:rsidR="00425BAA" w:rsidRPr="005D5EEC" w:rsidRDefault="00425BAA" w:rsidP="00425BAA">
      <w:pPr>
        <w:spacing w:after="0" w:line="240" w:lineRule="exact"/>
        <w:ind w:firstLine="289"/>
        <w:jc w:val="both"/>
        <w:rPr>
          <w:rFonts w:ascii="Times New Roman" w:hAnsi="Times New Roman" w:cs="Times New Roman"/>
        </w:rPr>
      </w:pPr>
    </w:p>
    <w:p w:rsidR="00425BAA" w:rsidRPr="005D5EEC" w:rsidRDefault="00425BAA" w:rsidP="00425BAA">
      <w:pPr>
        <w:numPr>
          <w:ilvl w:val="0"/>
          <w:numId w:val="18"/>
        </w:numPr>
        <w:tabs>
          <w:tab w:val="num" w:pos="829"/>
        </w:tabs>
        <w:spacing w:after="0" w:line="240" w:lineRule="exact"/>
        <w:ind w:left="828" w:hanging="539"/>
        <w:jc w:val="both"/>
        <w:rPr>
          <w:rFonts w:ascii="Times New Roman" w:hAnsi="Times New Roman" w:cs="Times New Roman"/>
        </w:rPr>
      </w:pPr>
      <w:r w:rsidRPr="005D5EEC">
        <w:rPr>
          <w:rFonts w:ascii="Times New Roman" w:hAnsi="Times New Roman" w:cs="Times New Roman"/>
        </w:rPr>
        <w:t>The application of UBD, MPD, or OBD is highly dependent on the formation strength, pore fluid pressure, and the in-situ principal stresses acting on the area.</w:t>
      </w:r>
    </w:p>
    <w:p w:rsidR="00425BAA" w:rsidRPr="005D5EEC" w:rsidRDefault="00425BAA" w:rsidP="00425BAA">
      <w:pPr>
        <w:numPr>
          <w:ilvl w:val="0"/>
          <w:numId w:val="18"/>
        </w:numPr>
        <w:tabs>
          <w:tab w:val="num" w:pos="829"/>
        </w:tabs>
        <w:spacing w:after="0" w:line="240" w:lineRule="exact"/>
        <w:ind w:left="828" w:hanging="539"/>
        <w:jc w:val="both"/>
        <w:rPr>
          <w:rFonts w:ascii="Times New Roman" w:hAnsi="Times New Roman" w:cs="Times New Roman"/>
        </w:rPr>
      </w:pPr>
      <w:r w:rsidRPr="005D5EEC">
        <w:rPr>
          <w:rFonts w:ascii="Times New Roman" w:hAnsi="Times New Roman" w:cs="Times New Roman"/>
        </w:rPr>
        <w:t xml:space="preserve">In underbalanced drilling, the window of safe wellbore pressure for vertical wells is </w:t>
      </w:r>
      <w:r w:rsidR="00595760">
        <w:rPr>
          <w:rFonts w:ascii="Times New Roman" w:hAnsi="Times New Roman" w:cs="Times New Roman"/>
        </w:rPr>
        <w:t xml:space="preserve">much </w:t>
      </w:r>
      <w:r w:rsidRPr="005D5EEC">
        <w:rPr>
          <w:rFonts w:ascii="Times New Roman" w:hAnsi="Times New Roman" w:cs="Times New Roman"/>
        </w:rPr>
        <w:t>wider than the window of the horizontal wells under the same conditions.</w:t>
      </w:r>
    </w:p>
    <w:p w:rsidR="00425BAA" w:rsidRPr="005D5EEC" w:rsidRDefault="00425BAA" w:rsidP="00425BAA">
      <w:pPr>
        <w:numPr>
          <w:ilvl w:val="0"/>
          <w:numId w:val="18"/>
        </w:numPr>
        <w:tabs>
          <w:tab w:val="num" w:pos="829"/>
        </w:tabs>
        <w:spacing w:after="0" w:line="240" w:lineRule="exact"/>
        <w:ind w:left="828" w:hanging="539"/>
        <w:jc w:val="both"/>
        <w:rPr>
          <w:rFonts w:ascii="Times New Roman" w:hAnsi="Times New Roman" w:cs="Times New Roman"/>
        </w:rPr>
      </w:pPr>
      <w:r w:rsidRPr="005D5EEC">
        <w:rPr>
          <w:rFonts w:ascii="Times New Roman" w:hAnsi="Times New Roman" w:cs="Times New Roman"/>
        </w:rPr>
        <w:t>In overbalanced drilling, the same window was applicable in both vertical and horizontal wells under the same conditions.</w:t>
      </w:r>
    </w:p>
    <w:p w:rsidR="00425BAA" w:rsidRDefault="00425BAA" w:rsidP="00425BAA">
      <w:pPr>
        <w:numPr>
          <w:ilvl w:val="0"/>
          <w:numId w:val="18"/>
        </w:numPr>
        <w:tabs>
          <w:tab w:val="num" w:pos="829"/>
        </w:tabs>
        <w:spacing w:after="0" w:line="240" w:lineRule="exact"/>
        <w:ind w:left="828" w:hanging="539"/>
        <w:jc w:val="both"/>
        <w:rPr>
          <w:rFonts w:ascii="Times New Roman" w:hAnsi="Times New Roman" w:cs="Times New Roman"/>
        </w:rPr>
      </w:pPr>
      <w:r w:rsidRPr="005D5EEC">
        <w:rPr>
          <w:rFonts w:ascii="Times New Roman" w:hAnsi="Times New Roman" w:cs="Times New Roman"/>
        </w:rPr>
        <w:t xml:space="preserve">In underbalanced drilling, the order of stability decrease </w:t>
      </w:r>
      <w:r w:rsidR="00D41F26">
        <w:rPr>
          <w:rFonts w:ascii="Times New Roman" w:hAnsi="Times New Roman" w:cs="Times New Roman"/>
        </w:rPr>
        <w:t>(</w:t>
      </w:r>
      <w:r w:rsidRPr="005D5EEC">
        <w:rPr>
          <w:rFonts w:ascii="Times New Roman" w:hAnsi="Times New Roman" w:cs="Times New Roman"/>
        </w:rPr>
        <w:t>based on well configurations</w:t>
      </w:r>
      <w:r w:rsidR="00D41F26">
        <w:rPr>
          <w:rFonts w:ascii="Times New Roman" w:hAnsi="Times New Roman" w:cs="Times New Roman"/>
        </w:rPr>
        <w:t>)</w:t>
      </w:r>
      <w:r w:rsidRPr="005D5EEC">
        <w:rPr>
          <w:rFonts w:ascii="Times New Roman" w:hAnsi="Times New Roman" w:cs="Times New Roman"/>
        </w:rPr>
        <w:t xml:space="preserve"> are vertical wells, horizontal wells drilled parallel to the minimum horizontal principal in-situ stress, and horizontal wells drilled parallel to the maximum horizontal principal in-situ stress accordingly.</w:t>
      </w:r>
    </w:p>
    <w:p w:rsidR="005D5EEC" w:rsidRDefault="005D5EEC" w:rsidP="00026777">
      <w:pPr>
        <w:spacing w:after="0" w:line="240" w:lineRule="exact"/>
        <w:ind w:firstLine="289"/>
        <w:jc w:val="both"/>
        <w:rPr>
          <w:rFonts w:ascii="Times New Roman" w:hAnsi="Times New Roman" w:cs="Times New Roman"/>
        </w:rPr>
      </w:pPr>
    </w:p>
    <w:p w:rsidR="00F942E9" w:rsidRDefault="00F942E9" w:rsidP="00026777">
      <w:pPr>
        <w:spacing w:after="0" w:line="240" w:lineRule="exact"/>
        <w:ind w:firstLine="289"/>
        <w:jc w:val="both"/>
        <w:rPr>
          <w:rFonts w:ascii="Times New Roman" w:hAnsi="Times New Roman" w:cs="Times New Roman"/>
        </w:rPr>
      </w:pPr>
    </w:p>
    <w:p w:rsidR="00F942E9" w:rsidRDefault="00F942E9" w:rsidP="00026777">
      <w:pPr>
        <w:spacing w:after="0" w:line="240" w:lineRule="exact"/>
        <w:ind w:firstLine="289"/>
        <w:jc w:val="both"/>
        <w:rPr>
          <w:rFonts w:ascii="Times New Roman" w:hAnsi="Times New Roman" w:cs="Times New Roman"/>
        </w:rPr>
      </w:pPr>
    </w:p>
    <w:p w:rsidR="00F942E9" w:rsidRDefault="00F942E9" w:rsidP="00026777">
      <w:pPr>
        <w:spacing w:after="0" w:line="240" w:lineRule="exact"/>
        <w:ind w:firstLine="289"/>
        <w:jc w:val="both"/>
        <w:rPr>
          <w:rFonts w:ascii="Times New Roman" w:hAnsi="Times New Roman" w:cs="Times New Roman"/>
        </w:rPr>
      </w:pPr>
    </w:p>
    <w:p w:rsidR="00F942E9" w:rsidRPr="00026777" w:rsidRDefault="00F942E9" w:rsidP="00026777">
      <w:pPr>
        <w:spacing w:after="0" w:line="240" w:lineRule="exact"/>
        <w:ind w:firstLine="289"/>
        <w:jc w:val="both"/>
        <w:rPr>
          <w:rFonts w:ascii="Times New Roman" w:hAnsi="Times New Roman" w:cs="Times New Roman"/>
        </w:rPr>
      </w:pPr>
    </w:p>
    <w:p w:rsidR="00EC7EB1" w:rsidRDefault="00EC7EB1" w:rsidP="006C348F">
      <w:pPr>
        <w:pStyle w:val="BodyText"/>
        <w:spacing w:before="120"/>
        <w:jc w:val="center"/>
      </w:pPr>
      <w:r>
        <w:rPr>
          <w:noProof/>
        </w:rPr>
        <w:drawing>
          <wp:inline distT="0" distB="0" distL="0" distR="0" wp14:anchorId="0BDF2527" wp14:editId="0AA10125">
            <wp:extent cx="4476307" cy="3062177"/>
            <wp:effectExtent l="0" t="0" r="19685"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C7EB1" w:rsidRDefault="005D5EEC" w:rsidP="008A5452">
      <w:pPr>
        <w:spacing w:after="840" w:line="240" w:lineRule="exact"/>
        <w:jc w:val="center"/>
        <w:rPr>
          <w:rFonts w:ascii="Times New Roman" w:hAnsi="Times New Roman" w:cs="Times New Roman"/>
        </w:rPr>
      </w:pPr>
      <w:r>
        <w:rPr>
          <w:rFonts w:ascii="Times New Roman" w:hAnsi="Times New Roman" w:cs="Times New Roman"/>
        </w:rPr>
        <w:t>Fig.</w:t>
      </w:r>
      <w:r w:rsidR="00EC7EB1" w:rsidRPr="00026777">
        <w:rPr>
          <w:rFonts w:ascii="Times New Roman" w:hAnsi="Times New Roman" w:cs="Times New Roman"/>
        </w:rPr>
        <w:t xml:space="preserve"> 4 Vertical </w:t>
      </w:r>
      <w:r w:rsidR="008B4E34">
        <w:rPr>
          <w:rFonts w:ascii="Times New Roman" w:hAnsi="Times New Roman" w:cs="Times New Roman"/>
        </w:rPr>
        <w:t>w</w:t>
      </w:r>
      <w:r w:rsidR="00EC7EB1" w:rsidRPr="00026777">
        <w:rPr>
          <w:rFonts w:ascii="Times New Roman" w:hAnsi="Times New Roman" w:cs="Times New Roman"/>
        </w:rPr>
        <w:t xml:space="preserve">ell in </w:t>
      </w:r>
      <w:r w:rsidR="008B4E34">
        <w:rPr>
          <w:rFonts w:ascii="Times New Roman" w:hAnsi="Times New Roman" w:cs="Times New Roman"/>
        </w:rPr>
        <w:t>v</w:t>
      </w:r>
      <w:r w:rsidR="00EC7EB1" w:rsidRPr="00026777">
        <w:rPr>
          <w:rFonts w:ascii="Times New Roman" w:hAnsi="Times New Roman" w:cs="Times New Roman"/>
        </w:rPr>
        <w:t xml:space="preserve">ery </w:t>
      </w:r>
      <w:r w:rsidR="008B4E34">
        <w:rPr>
          <w:rFonts w:ascii="Times New Roman" w:hAnsi="Times New Roman" w:cs="Times New Roman"/>
        </w:rPr>
        <w:t>w</w:t>
      </w:r>
      <w:r w:rsidR="00EC7EB1" w:rsidRPr="00026777">
        <w:rPr>
          <w:rFonts w:ascii="Times New Roman" w:hAnsi="Times New Roman" w:cs="Times New Roman"/>
        </w:rPr>
        <w:t xml:space="preserve">eak </w:t>
      </w:r>
      <w:r w:rsidR="008B4E34">
        <w:rPr>
          <w:rFonts w:ascii="Times New Roman" w:hAnsi="Times New Roman" w:cs="Times New Roman"/>
        </w:rPr>
        <w:t>f</w:t>
      </w:r>
      <w:r w:rsidR="00EC7EB1" w:rsidRPr="00026777">
        <w:rPr>
          <w:rFonts w:ascii="Times New Roman" w:hAnsi="Times New Roman" w:cs="Times New Roman"/>
        </w:rPr>
        <w:t>ormation (R1)</w:t>
      </w:r>
    </w:p>
    <w:p w:rsidR="00EC7EB1" w:rsidRDefault="00EC7EB1" w:rsidP="005D5EEC">
      <w:pPr>
        <w:pStyle w:val="BodyText"/>
        <w:jc w:val="center"/>
      </w:pPr>
      <w:r>
        <w:rPr>
          <w:noProof/>
        </w:rPr>
        <w:drawing>
          <wp:inline distT="0" distB="0" distL="0" distR="0" wp14:anchorId="5DB58FDA" wp14:editId="195C8CDE">
            <wp:extent cx="4412512" cy="3179135"/>
            <wp:effectExtent l="38100" t="0" r="64770" b="596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C7EB1" w:rsidRDefault="005D5EEC" w:rsidP="008B4E34">
      <w:pPr>
        <w:spacing w:after="0" w:line="240" w:lineRule="auto"/>
        <w:jc w:val="center"/>
        <w:rPr>
          <w:rFonts w:ascii="Times New Roman" w:hAnsi="Times New Roman" w:cs="Times New Roman"/>
        </w:rPr>
      </w:pPr>
      <w:r>
        <w:rPr>
          <w:rFonts w:ascii="Times New Roman" w:hAnsi="Times New Roman" w:cs="Times New Roman"/>
        </w:rPr>
        <w:t>Fig.</w:t>
      </w:r>
      <w:r w:rsidR="00EC7EB1" w:rsidRPr="005D5EEC">
        <w:rPr>
          <w:rFonts w:ascii="Times New Roman" w:hAnsi="Times New Roman" w:cs="Times New Roman"/>
        </w:rPr>
        <w:t xml:space="preserve"> 5 Vertical </w:t>
      </w:r>
      <w:r w:rsidR="008B4E34">
        <w:rPr>
          <w:rFonts w:ascii="Times New Roman" w:hAnsi="Times New Roman" w:cs="Times New Roman"/>
        </w:rPr>
        <w:t>w</w:t>
      </w:r>
      <w:r w:rsidR="00EC7EB1" w:rsidRPr="005D5EEC">
        <w:rPr>
          <w:rFonts w:ascii="Times New Roman" w:hAnsi="Times New Roman" w:cs="Times New Roman"/>
        </w:rPr>
        <w:t xml:space="preserve">ell in </w:t>
      </w:r>
      <w:r w:rsidR="008B4E34">
        <w:rPr>
          <w:rFonts w:ascii="Times New Roman" w:hAnsi="Times New Roman" w:cs="Times New Roman"/>
        </w:rPr>
        <w:t>w</w:t>
      </w:r>
      <w:r w:rsidR="00EC7EB1" w:rsidRPr="005D5EEC">
        <w:rPr>
          <w:rFonts w:ascii="Times New Roman" w:hAnsi="Times New Roman" w:cs="Times New Roman"/>
        </w:rPr>
        <w:t xml:space="preserve">eak </w:t>
      </w:r>
      <w:r w:rsidR="008B4E34">
        <w:rPr>
          <w:rFonts w:ascii="Times New Roman" w:hAnsi="Times New Roman" w:cs="Times New Roman"/>
        </w:rPr>
        <w:t>f</w:t>
      </w:r>
      <w:r w:rsidR="00EC7EB1" w:rsidRPr="005D5EEC">
        <w:rPr>
          <w:rFonts w:ascii="Times New Roman" w:hAnsi="Times New Roman" w:cs="Times New Roman"/>
        </w:rPr>
        <w:t>ormation (R2)</w:t>
      </w:r>
    </w:p>
    <w:p w:rsidR="005D5EEC" w:rsidRDefault="005D5EEC" w:rsidP="005D5EEC">
      <w:pPr>
        <w:spacing w:after="0" w:line="240" w:lineRule="exact"/>
        <w:jc w:val="center"/>
        <w:rPr>
          <w:rFonts w:ascii="Times New Roman" w:hAnsi="Times New Roman" w:cs="Times New Roman"/>
        </w:rPr>
      </w:pPr>
    </w:p>
    <w:p w:rsidR="00F942E9" w:rsidRDefault="00F942E9" w:rsidP="005D5EEC">
      <w:pPr>
        <w:spacing w:after="0" w:line="240" w:lineRule="exact"/>
        <w:jc w:val="center"/>
        <w:rPr>
          <w:rFonts w:ascii="Times New Roman" w:hAnsi="Times New Roman" w:cs="Times New Roman"/>
        </w:rPr>
      </w:pPr>
    </w:p>
    <w:p w:rsidR="005D5EEC" w:rsidRPr="005D5EEC" w:rsidRDefault="005D5EEC" w:rsidP="005D5EEC">
      <w:pPr>
        <w:spacing w:after="0" w:line="240" w:lineRule="exact"/>
        <w:jc w:val="center"/>
        <w:rPr>
          <w:rFonts w:ascii="Times New Roman" w:hAnsi="Times New Roman" w:cs="Times New Roman"/>
        </w:rPr>
      </w:pPr>
    </w:p>
    <w:p w:rsidR="00EC7EB1" w:rsidRDefault="00EC7EB1" w:rsidP="006C348F">
      <w:pPr>
        <w:pStyle w:val="BodyText"/>
        <w:spacing w:before="120"/>
        <w:jc w:val="center"/>
      </w:pPr>
      <w:r>
        <w:rPr>
          <w:noProof/>
        </w:rPr>
        <w:drawing>
          <wp:inline distT="0" distB="0" distL="0" distR="0" wp14:anchorId="0E94DEFE" wp14:editId="003B6E8C">
            <wp:extent cx="4238625" cy="3043238"/>
            <wp:effectExtent l="0" t="0" r="952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C7EB1" w:rsidRDefault="005D5EEC" w:rsidP="008A5452">
      <w:pPr>
        <w:spacing w:after="960" w:line="240" w:lineRule="exact"/>
        <w:jc w:val="center"/>
        <w:rPr>
          <w:rFonts w:ascii="Times New Roman" w:hAnsi="Times New Roman" w:cs="Times New Roman"/>
        </w:rPr>
      </w:pPr>
      <w:r>
        <w:rPr>
          <w:rFonts w:ascii="Times New Roman" w:hAnsi="Times New Roman" w:cs="Times New Roman"/>
        </w:rPr>
        <w:t>Fig.</w:t>
      </w:r>
      <w:r w:rsidR="00EC7EB1" w:rsidRPr="005D5EEC">
        <w:rPr>
          <w:rFonts w:ascii="Times New Roman" w:hAnsi="Times New Roman" w:cs="Times New Roman"/>
        </w:rPr>
        <w:t xml:space="preserve"> 6 Vertical </w:t>
      </w:r>
      <w:r w:rsidR="008B4E34">
        <w:rPr>
          <w:rFonts w:ascii="Times New Roman" w:hAnsi="Times New Roman" w:cs="Times New Roman"/>
        </w:rPr>
        <w:t>w</w:t>
      </w:r>
      <w:r w:rsidR="00EC7EB1" w:rsidRPr="005D5EEC">
        <w:rPr>
          <w:rFonts w:ascii="Times New Roman" w:hAnsi="Times New Roman" w:cs="Times New Roman"/>
        </w:rPr>
        <w:t xml:space="preserve">ell in </w:t>
      </w:r>
      <w:r w:rsidR="00921C53">
        <w:rPr>
          <w:rFonts w:ascii="Times New Roman" w:hAnsi="Times New Roman" w:cs="Times New Roman"/>
        </w:rPr>
        <w:t>medium</w:t>
      </w:r>
      <w:r w:rsidR="00EC7EB1" w:rsidRPr="005D5EEC">
        <w:rPr>
          <w:rFonts w:ascii="Times New Roman" w:hAnsi="Times New Roman" w:cs="Times New Roman"/>
        </w:rPr>
        <w:t xml:space="preserve"> </w:t>
      </w:r>
      <w:r w:rsidR="008B4E34">
        <w:rPr>
          <w:rFonts w:ascii="Times New Roman" w:hAnsi="Times New Roman" w:cs="Times New Roman"/>
        </w:rPr>
        <w:t>s</w:t>
      </w:r>
      <w:r w:rsidR="00EC7EB1" w:rsidRPr="005D5EEC">
        <w:rPr>
          <w:rFonts w:ascii="Times New Roman" w:hAnsi="Times New Roman" w:cs="Times New Roman"/>
        </w:rPr>
        <w:t xml:space="preserve">trong </w:t>
      </w:r>
      <w:r w:rsidR="008B4E34">
        <w:rPr>
          <w:rFonts w:ascii="Times New Roman" w:hAnsi="Times New Roman" w:cs="Times New Roman"/>
        </w:rPr>
        <w:t>f</w:t>
      </w:r>
      <w:r w:rsidR="00EC7EB1" w:rsidRPr="005D5EEC">
        <w:rPr>
          <w:rFonts w:ascii="Times New Roman" w:hAnsi="Times New Roman" w:cs="Times New Roman"/>
        </w:rPr>
        <w:t>ormation (R3)</w:t>
      </w:r>
    </w:p>
    <w:p w:rsidR="00EC7EB1" w:rsidRDefault="00EC7EB1" w:rsidP="005D5EEC">
      <w:pPr>
        <w:pStyle w:val="BodyText"/>
        <w:jc w:val="center"/>
      </w:pPr>
      <w:r>
        <w:rPr>
          <w:noProof/>
        </w:rPr>
        <w:drawing>
          <wp:inline distT="0" distB="0" distL="0" distR="0" wp14:anchorId="030CB426" wp14:editId="1967CDA1">
            <wp:extent cx="4219575" cy="2743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7EB1" w:rsidRPr="005D5EEC" w:rsidRDefault="005D5EEC" w:rsidP="008B4E34">
      <w:pPr>
        <w:spacing w:after="0" w:line="240" w:lineRule="exact"/>
        <w:jc w:val="center"/>
        <w:rPr>
          <w:rFonts w:ascii="Times New Roman" w:hAnsi="Times New Roman" w:cs="Times New Roman"/>
        </w:rPr>
      </w:pPr>
      <w:r>
        <w:rPr>
          <w:rFonts w:ascii="Times New Roman" w:hAnsi="Times New Roman" w:cs="Times New Roman"/>
        </w:rPr>
        <w:t>Fig.</w:t>
      </w:r>
      <w:r w:rsidR="00EC7EB1" w:rsidRPr="005D5EEC">
        <w:rPr>
          <w:rFonts w:ascii="Times New Roman" w:hAnsi="Times New Roman" w:cs="Times New Roman"/>
        </w:rPr>
        <w:t xml:space="preserve"> </w:t>
      </w:r>
      <w:r>
        <w:rPr>
          <w:rFonts w:ascii="Times New Roman" w:hAnsi="Times New Roman" w:cs="Times New Roman"/>
        </w:rPr>
        <w:t>7</w:t>
      </w:r>
      <w:r w:rsidR="00EC7EB1" w:rsidRPr="005D5EEC">
        <w:rPr>
          <w:rFonts w:ascii="Times New Roman" w:hAnsi="Times New Roman" w:cs="Times New Roman"/>
        </w:rPr>
        <w:t xml:space="preserve"> Summary of the </w:t>
      </w:r>
      <w:r w:rsidR="008B4E34">
        <w:rPr>
          <w:rFonts w:ascii="Times New Roman" w:hAnsi="Times New Roman" w:cs="Times New Roman"/>
        </w:rPr>
        <w:t>s</w:t>
      </w:r>
      <w:r w:rsidR="00EC7EB1" w:rsidRPr="005D5EEC">
        <w:rPr>
          <w:rFonts w:ascii="Times New Roman" w:hAnsi="Times New Roman" w:cs="Times New Roman"/>
        </w:rPr>
        <w:t xml:space="preserve">tudied </w:t>
      </w:r>
      <w:r w:rsidR="008B4E34">
        <w:rPr>
          <w:rFonts w:ascii="Times New Roman" w:hAnsi="Times New Roman" w:cs="Times New Roman"/>
        </w:rPr>
        <w:t>v</w:t>
      </w:r>
      <w:r w:rsidR="00EC7EB1" w:rsidRPr="005D5EEC">
        <w:rPr>
          <w:rFonts w:ascii="Times New Roman" w:hAnsi="Times New Roman" w:cs="Times New Roman"/>
        </w:rPr>
        <w:t xml:space="preserve">ertical </w:t>
      </w:r>
      <w:r w:rsidR="008B4E34">
        <w:rPr>
          <w:rFonts w:ascii="Times New Roman" w:hAnsi="Times New Roman" w:cs="Times New Roman"/>
        </w:rPr>
        <w:t>d</w:t>
      </w:r>
      <w:r w:rsidR="00EC7EB1" w:rsidRPr="005D5EEC">
        <w:rPr>
          <w:rFonts w:ascii="Times New Roman" w:hAnsi="Times New Roman" w:cs="Times New Roman"/>
        </w:rPr>
        <w:t xml:space="preserve">rilling </w:t>
      </w:r>
      <w:r w:rsidR="008B4E34">
        <w:rPr>
          <w:rFonts w:ascii="Times New Roman" w:hAnsi="Times New Roman" w:cs="Times New Roman"/>
        </w:rPr>
        <w:t>c</w:t>
      </w:r>
      <w:r w:rsidR="00EC7EB1" w:rsidRPr="005D5EEC">
        <w:rPr>
          <w:rFonts w:ascii="Times New Roman" w:hAnsi="Times New Roman" w:cs="Times New Roman"/>
        </w:rPr>
        <w:t>ases</w:t>
      </w:r>
    </w:p>
    <w:p w:rsidR="005D5EEC" w:rsidRDefault="005D5EEC" w:rsidP="005D5EEC">
      <w:pPr>
        <w:spacing w:after="0" w:line="240" w:lineRule="exact"/>
        <w:ind w:firstLine="289"/>
        <w:jc w:val="both"/>
        <w:rPr>
          <w:rFonts w:ascii="Times New Roman" w:hAnsi="Times New Roman" w:cs="Times New Roman"/>
        </w:rPr>
      </w:pPr>
    </w:p>
    <w:p w:rsidR="005D5EEC" w:rsidRDefault="005D5EEC" w:rsidP="005D5EEC">
      <w:pPr>
        <w:spacing w:after="0" w:line="240" w:lineRule="exact"/>
        <w:ind w:firstLine="289"/>
        <w:jc w:val="both"/>
        <w:rPr>
          <w:rFonts w:ascii="Times New Roman" w:hAnsi="Times New Roman" w:cs="Times New Roman"/>
        </w:rPr>
      </w:pPr>
    </w:p>
    <w:p w:rsidR="00EC7EB1" w:rsidRDefault="00EC7EB1" w:rsidP="005D5EEC">
      <w:pPr>
        <w:spacing w:after="0" w:line="240" w:lineRule="exact"/>
        <w:ind w:firstLine="289"/>
        <w:jc w:val="both"/>
        <w:rPr>
          <w:rFonts w:ascii="Times New Roman" w:hAnsi="Times New Roman" w:cs="Times New Roman"/>
        </w:rPr>
      </w:pPr>
      <w:r w:rsidRPr="005D5EEC">
        <w:rPr>
          <w:rFonts w:ascii="Times New Roman" w:hAnsi="Times New Roman" w:cs="Times New Roman"/>
        </w:rPr>
        <w:t xml:space="preserve">  </w:t>
      </w:r>
    </w:p>
    <w:p w:rsidR="00F942E9" w:rsidRDefault="00F942E9" w:rsidP="005D5EEC">
      <w:pPr>
        <w:spacing w:after="0" w:line="240" w:lineRule="exact"/>
        <w:ind w:firstLine="289"/>
        <w:jc w:val="both"/>
        <w:rPr>
          <w:rFonts w:ascii="Times New Roman" w:hAnsi="Times New Roman" w:cs="Times New Roman"/>
        </w:rPr>
      </w:pPr>
    </w:p>
    <w:p w:rsidR="00F942E9" w:rsidRPr="005D5EEC" w:rsidRDefault="00F942E9" w:rsidP="005D5EEC">
      <w:pPr>
        <w:spacing w:after="0" w:line="240" w:lineRule="exact"/>
        <w:ind w:firstLine="289"/>
        <w:jc w:val="both"/>
        <w:rPr>
          <w:rFonts w:ascii="Times New Roman" w:hAnsi="Times New Roman" w:cs="Times New Roman"/>
        </w:rPr>
      </w:pPr>
      <w:bookmarkStart w:id="0" w:name="_GoBack"/>
      <w:bookmarkEnd w:id="0"/>
    </w:p>
    <w:p w:rsidR="00EC7EB1" w:rsidRDefault="00EC7EB1" w:rsidP="006C348F">
      <w:pPr>
        <w:spacing w:before="120" w:after="0"/>
        <w:jc w:val="center"/>
        <w:rPr>
          <w:rFonts w:asciiTheme="majorBidi" w:hAnsiTheme="majorBidi" w:cstheme="majorBidi"/>
          <w:b/>
          <w:bCs/>
          <w:color w:val="000000" w:themeColor="text1"/>
          <w:sz w:val="28"/>
          <w:szCs w:val="28"/>
        </w:rPr>
      </w:pPr>
      <w:r>
        <w:rPr>
          <w:noProof/>
          <w:lang w:eastAsia="en-US"/>
        </w:rPr>
        <w:drawing>
          <wp:inline distT="0" distB="0" distL="0" distR="0" wp14:anchorId="3E4867B4" wp14:editId="7ABF3041">
            <wp:extent cx="4238625" cy="3043238"/>
            <wp:effectExtent l="0" t="0" r="9525"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C7EB1" w:rsidRDefault="005D5EEC" w:rsidP="00336D52">
      <w:pPr>
        <w:spacing w:after="720" w:line="240" w:lineRule="exact"/>
        <w:jc w:val="center"/>
        <w:rPr>
          <w:rFonts w:ascii="Times New Roman" w:hAnsi="Times New Roman" w:cs="Times New Roman"/>
        </w:rPr>
      </w:pPr>
      <w:r>
        <w:rPr>
          <w:rFonts w:ascii="Times New Roman" w:hAnsi="Times New Roman" w:cs="Times New Roman"/>
        </w:rPr>
        <w:t>Fig.</w:t>
      </w:r>
      <w:r w:rsidR="00EC7EB1" w:rsidRPr="005D5EEC">
        <w:rPr>
          <w:rFonts w:ascii="Times New Roman" w:hAnsi="Times New Roman" w:cs="Times New Roman"/>
        </w:rPr>
        <w:t xml:space="preserve"> 8 Horizontal </w:t>
      </w:r>
      <w:r w:rsidR="008B4E34">
        <w:rPr>
          <w:rFonts w:ascii="Times New Roman" w:hAnsi="Times New Roman" w:cs="Times New Roman"/>
        </w:rPr>
        <w:t>w</w:t>
      </w:r>
      <w:r w:rsidR="00EC7EB1" w:rsidRPr="005D5EEC">
        <w:rPr>
          <w:rFonts w:ascii="Times New Roman" w:hAnsi="Times New Roman" w:cs="Times New Roman"/>
        </w:rPr>
        <w:t>ell (//</w:t>
      </w:r>
      <w:r w:rsidR="00EC7EB1" w:rsidRPr="005D5EEC">
        <w:rPr>
          <w:rFonts w:ascii="Symbol" w:hAnsi="Symbol" w:cs="Times New Roman"/>
        </w:rPr>
        <w:t></w:t>
      </w:r>
      <w:r w:rsidR="00EC7EB1" w:rsidRPr="005D5EEC">
        <w:rPr>
          <w:rFonts w:ascii="Times New Roman" w:hAnsi="Times New Roman" w:cs="Times New Roman"/>
          <w:vertAlign w:val="subscript"/>
        </w:rPr>
        <w:t>H</w:t>
      </w:r>
      <w:r w:rsidR="00EC7EB1" w:rsidRPr="005D5EEC">
        <w:rPr>
          <w:rFonts w:ascii="Times New Roman" w:hAnsi="Times New Roman" w:cs="Times New Roman"/>
        </w:rPr>
        <w:t xml:space="preserve">) in </w:t>
      </w:r>
      <w:r w:rsidR="00E32EE2">
        <w:rPr>
          <w:rFonts w:ascii="Times New Roman" w:hAnsi="Times New Roman" w:cs="Times New Roman"/>
        </w:rPr>
        <w:t>medium</w:t>
      </w:r>
      <w:r w:rsidR="00EC7EB1" w:rsidRPr="005D5EEC">
        <w:rPr>
          <w:rFonts w:ascii="Times New Roman" w:hAnsi="Times New Roman" w:cs="Times New Roman"/>
        </w:rPr>
        <w:t xml:space="preserve"> </w:t>
      </w:r>
      <w:r w:rsidR="008B4E34">
        <w:rPr>
          <w:rFonts w:ascii="Times New Roman" w:hAnsi="Times New Roman" w:cs="Times New Roman"/>
        </w:rPr>
        <w:t>s</w:t>
      </w:r>
      <w:r w:rsidR="00EC7EB1" w:rsidRPr="005D5EEC">
        <w:rPr>
          <w:rFonts w:ascii="Times New Roman" w:hAnsi="Times New Roman" w:cs="Times New Roman"/>
        </w:rPr>
        <w:t xml:space="preserve">trong </w:t>
      </w:r>
      <w:r w:rsidR="008B4E34">
        <w:rPr>
          <w:rFonts w:ascii="Times New Roman" w:hAnsi="Times New Roman" w:cs="Times New Roman"/>
        </w:rPr>
        <w:t>f</w:t>
      </w:r>
      <w:r w:rsidR="00EC7EB1" w:rsidRPr="005D5EEC">
        <w:rPr>
          <w:rFonts w:ascii="Times New Roman" w:hAnsi="Times New Roman" w:cs="Times New Roman"/>
        </w:rPr>
        <w:t>ormation (R3)</w:t>
      </w:r>
    </w:p>
    <w:p w:rsidR="00EC7EB1" w:rsidRDefault="00EC7EB1" w:rsidP="00EC7EB1">
      <w:pPr>
        <w:pStyle w:val="BodyText"/>
        <w:spacing w:before="240" w:after="120"/>
        <w:jc w:val="center"/>
      </w:pPr>
      <w:r>
        <w:rPr>
          <w:noProof/>
        </w:rPr>
        <w:drawing>
          <wp:inline distT="0" distB="0" distL="0" distR="0" wp14:anchorId="13AB1744" wp14:editId="25A84387">
            <wp:extent cx="4238625" cy="3043238"/>
            <wp:effectExtent l="0" t="0" r="9525" b="241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C7EB1" w:rsidRPr="005D5EEC" w:rsidRDefault="005D5EEC" w:rsidP="008B4E34">
      <w:pPr>
        <w:spacing w:after="0" w:line="240" w:lineRule="exact"/>
        <w:jc w:val="center"/>
        <w:rPr>
          <w:rFonts w:ascii="Times New Roman" w:hAnsi="Times New Roman" w:cs="Times New Roman"/>
        </w:rPr>
      </w:pPr>
      <w:r>
        <w:rPr>
          <w:rFonts w:ascii="Times New Roman" w:hAnsi="Times New Roman" w:cs="Times New Roman"/>
        </w:rPr>
        <w:t>Fig.</w:t>
      </w:r>
      <w:r w:rsidR="00EC7EB1" w:rsidRPr="005D5EEC">
        <w:rPr>
          <w:rFonts w:ascii="Times New Roman" w:hAnsi="Times New Roman" w:cs="Times New Roman"/>
        </w:rPr>
        <w:t xml:space="preserve"> 9 Horizontal </w:t>
      </w:r>
      <w:r w:rsidR="008B4E34">
        <w:rPr>
          <w:rFonts w:ascii="Times New Roman" w:hAnsi="Times New Roman" w:cs="Times New Roman"/>
        </w:rPr>
        <w:t>w</w:t>
      </w:r>
      <w:r w:rsidR="00EC7EB1" w:rsidRPr="005D5EEC">
        <w:rPr>
          <w:rFonts w:ascii="Times New Roman" w:hAnsi="Times New Roman" w:cs="Times New Roman"/>
        </w:rPr>
        <w:t>ell (//</w:t>
      </w:r>
      <w:r w:rsidR="00EC7EB1" w:rsidRPr="005D5EEC">
        <w:rPr>
          <w:rFonts w:ascii="Symbol" w:hAnsi="Symbol" w:cs="Times New Roman"/>
        </w:rPr>
        <w:t></w:t>
      </w:r>
      <w:r w:rsidR="00EC7EB1" w:rsidRPr="005D5EEC">
        <w:rPr>
          <w:rFonts w:ascii="Times New Roman" w:hAnsi="Times New Roman" w:cs="Times New Roman"/>
          <w:vertAlign w:val="subscript"/>
        </w:rPr>
        <w:t>h</w:t>
      </w:r>
      <w:r w:rsidR="00EC7EB1" w:rsidRPr="005D5EEC">
        <w:rPr>
          <w:rFonts w:ascii="Times New Roman" w:hAnsi="Times New Roman" w:cs="Times New Roman"/>
        </w:rPr>
        <w:t xml:space="preserve">) in </w:t>
      </w:r>
      <w:r w:rsidR="00E32EE2">
        <w:rPr>
          <w:rFonts w:ascii="Times New Roman" w:hAnsi="Times New Roman" w:cs="Times New Roman"/>
        </w:rPr>
        <w:t>medium</w:t>
      </w:r>
      <w:r w:rsidR="00EC7EB1" w:rsidRPr="005D5EEC">
        <w:rPr>
          <w:rFonts w:ascii="Times New Roman" w:hAnsi="Times New Roman" w:cs="Times New Roman"/>
        </w:rPr>
        <w:t xml:space="preserve"> </w:t>
      </w:r>
      <w:r w:rsidR="008B4E34">
        <w:rPr>
          <w:rFonts w:ascii="Times New Roman" w:hAnsi="Times New Roman" w:cs="Times New Roman"/>
        </w:rPr>
        <w:t>s</w:t>
      </w:r>
      <w:r w:rsidR="00EC7EB1" w:rsidRPr="005D5EEC">
        <w:rPr>
          <w:rFonts w:ascii="Times New Roman" w:hAnsi="Times New Roman" w:cs="Times New Roman"/>
        </w:rPr>
        <w:t xml:space="preserve">trong </w:t>
      </w:r>
      <w:r w:rsidR="008B4E34">
        <w:rPr>
          <w:rFonts w:ascii="Times New Roman" w:hAnsi="Times New Roman" w:cs="Times New Roman"/>
        </w:rPr>
        <w:t>f</w:t>
      </w:r>
      <w:r w:rsidR="00EC7EB1" w:rsidRPr="005D5EEC">
        <w:rPr>
          <w:rFonts w:ascii="Times New Roman" w:hAnsi="Times New Roman" w:cs="Times New Roman"/>
        </w:rPr>
        <w:t>ormation (R3)</w:t>
      </w:r>
    </w:p>
    <w:p w:rsidR="005D5EEC" w:rsidRDefault="005D5EEC" w:rsidP="005D5EEC">
      <w:pPr>
        <w:spacing w:after="0" w:line="240" w:lineRule="exact"/>
        <w:ind w:firstLine="289"/>
        <w:jc w:val="both"/>
        <w:rPr>
          <w:rFonts w:ascii="Times New Roman" w:hAnsi="Times New Roman" w:cs="Times New Roman"/>
        </w:rPr>
      </w:pPr>
    </w:p>
    <w:p w:rsidR="00046D93" w:rsidRDefault="00046D93" w:rsidP="008B4E34">
      <w:pPr>
        <w:spacing w:after="0" w:line="240" w:lineRule="exact"/>
        <w:ind w:left="-720" w:right="-666"/>
        <w:jc w:val="center"/>
        <w:rPr>
          <w:rFonts w:ascii="Times New Roman" w:hAnsi="Times New Roman" w:cs="Times New Roman"/>
        </w:rPr>
      </w:pPr>
    </w:p>
    <w:p w:rsidR="00046D93" w:rsidRDefault="00046D93" w:rsidP="008B4E34">
      <w:pPr>
        <w:spacing w:after="0" w:line="240" w:lineRule="exact"/>
        <w:ind w:left="-720" w:right="-666"/>
        <w:jc w:val="center"/>
        <w:rPr>
          <w:rFonts w:ascii="Times New Roman" w:hAnsi="Times New Roman" w:cs="Times New Roman"/>
        </w:rPr>
      </w:pPr>
    </w:p>
    <w:p w:rsidR="00046D93" w:rsidRDefault="00046D93" w:rsidP="008B4E34">
      <w:pPr>
        <w:spacing w:after="0" w:line="240" w:lineRule="exact"/>
        <w:ind w:left="-720" w:right="-666"/>
        <w:jc w:val="center"/>
        <w:rPr>
          <w:rFonts w:ascii="Times New Roman" w:hAnsi="Times New Roman" w:cs="Times New Roman"/>
        </w:rPr>
      </w:pPr>
    </w:p>
    <w:p w:rsidR="00667086" w:rsidRPr="00F55E55" w:rsidRDefault="0097693F" w:rsidP="007A2171">
      <w:pPr>
        <w:spacing w:after="120" w:line="240" w:lineRule="exact"/>
        <w:ind w:left="-720" w:right="-666"/>
        <w:jc w:val="center"/>
        <w:rPr>
          <w:rFonts w:ascii="Times New Roman" w:hAnsi="Times New Roman" w:cs="Times New Roman"/>
        </w:rPr>
      </w:pPr>
      <w:r>
        <w:rPr>
          <w:rFonts w:ascii="Times New Roman" w:hAnsi="Times New Roman" w:cs="Times New Roman"/>
        </w:rPr>
        <w:t>Table 2</w:t>
      </w:r>
      <w:r w:rsidR="00EC7EB1" w:rsidRPr="00667086">
        <w:rPr>
          <w:rFonts w:ascii="Times New Roman" w:hAnsi="Times New Roman" w:cs="Times New Roman"/>
        </w:rPr>
        <w:t xml:space="preserve"> </w:t>
      </w:r>
      <w:r w:rsidR="007A2171" w:rsidRPr="00667086">
        <w:rPr>
          <w:rFonts w:ascii="Times New Roman" w:hAnsi="Times New Roman" w:cs="Times New Roman"/>
        </w:rPr>
        <w:t xml:space="preserve">Summary of the </w:t>
      </w:r>
      <w:r w:rsidR="007A2171">
        <w:rPr>
          <w:rFonts w:ascii="Times New Roman" w:hAnsi="Times New Roman" w:cs="Times New Roman"/>
        </w:rPr>
        <w:t>r</w:t>
      </w:r>
      <w:r w:rsidR="007A2171" w:rsidRPr="00667086">
        <w:rPr>
          <w:rFonts w:ascii="Times New Roman" w:hAnsi="Times New Roman" w:cs="Times New Roman"/>
        </w:rPr>
        <w:t xml:space="preserve">esults of </w:t>
      </w:r>
      <w:r w:rsidR="007A2171">
        <w:rPr>
          <w:rFonts w:ascii="Times New Roman" w:hAnsi="Times New Roman" w:cs="Times New Roman"/>
        </w:rPr>
        <w:t>drilling</w:t>
      </w:r>
      <w:r w:rsidR="007A2171" w:rsidRPr="00667086">
        <w:rPr>
          <w:rFonts w:ascii="Times New Roman" w:hAnsi="Times New Roman" w:cs="Times New Roman"/>
        </w:rPr>
        <w:t xml:space="preserve"> </w:t>
      </w:r>
      <w:r w:rsidR="007A2171">
        <w:rPr>
          <w:rFonts w:ascii="Times New Roman" w:hAnsi="Times New Roman" w:cs="Times New Roman"/>
        </w:rPr>
        <w:t>vertical</w:t>
      </w:r>
      <w:r w:rsidR="007A2171" w:rsidRPr="00667086">
        <w:rPr>
          <w:rFonts w:ascii="Times New Roman" w:hAnsi="Times New Roman" w:cs="Times New Roman"/>
        </w:rPr>
        <w:t xml:space="preserve"> </w:t>
      </w:r>
      <w:r w:rsidR="007A2171">
        <w:rPr>
          <w:rFonts w:ascii="Times New Roman" w:hAnsi="Times New Roman" w:cs="Times New Roman"/>
        </w:rPr>
        <w:t>h</w:t>
      </w:r>
      <w:r w:rsidR="007A2171" w:rsidRPr="00667086">
        <w:rPr>
          <w:rFonts w:ascii="Times New Roman" w:hAnsi="Times New Roman" w:cs="Times New Roman"/>
        </w:rPr>
        <w:t xml:space="preserve">ypothetical </w:t>
      </w:r>
      <w:r w:rsidR="007A2171">
        <w:rPr>
          <w:rFonts w:ascii="Times New Roman" w:hAnsi="Times New Roman" w:cs="Times New Roman"/>
        </w:rPr>
        <w:t>w</w:t>
      </w:r>
      <w:r w:rsidR="007A2171" w:rsidRPr="00667086">
        <w:rPr>
          <w:rFonts w:ascii="Times New Roman" w:hAnsi="Times New Roman" w:cs="Times New Roman"/>
        </w:rPr>
        <w:t xml:space="preserve">ells </w:t>
      </w:r>
      <w:r w:rsidR="007A2171">
        <w:rPr>
          <w:rFonts w:ascii="Times New Roman" w:hAnsi="Times New Roman" w:cs="Times New Roman"/>
        </w:rPr>
        <w:t>in R1, R2 and R3 formations</w:t>
      </w:r>
    </w:p>
    <w:tbl>
      <w:tblPr>
        <w:tblStyle w:val="TableGrid"/>
        <w:tblpPr w:leftFromText="180" w:rightFromText="180" w:vertAnchor="text" w:tblpX="-612" w:tblpY="1"/>
        <w:tblOverlap w:val="never"/>
        <w:tblW w:w="10188" w:type="dxa"/>
        <w:tblLayout w:type="fixed"/>
        <w:tblLook w:val="04A0" w:firstRow="1" w:lastRow="0" w:firstColumn="1" w:lastColumn="0" w:noHBand="0" w:noVBand="1"/>
      </w:tblPr>
      <w:tblGrid>
        <w:gridCol w:w="1818"/>
        <w:gridCol w:w="1170"/>
        <w:gridCol w:w="810"/>
        <w:gridCol w:w="990"/>
        <w:gridCol w:w="810"/>
        <w:gridCol w:w="990"/>
        <w:gridCol w:w="540"/>
        <w:gridCol w:w="900"/>
        <w:gridCol w:w="540"/>
        <w:gridCol w:w="990"/>
        <w:gridCol w:w="630"/>
      </w:tblGrid>
      <w:tr w:rsidR="000E1966" w:rsidRPr="005D5EEC" w:rsidTr="00B833DA">
        <w:tc>
          <w:tcPr>
            <w:tcW w:w="1818" w:type="dxa"/>
            <w:vMerge w:val="restart"/>
          </w:tcPr>
          <w:p w:rsidR="000E1966" w:rsidRPr="005D5EEC" w:rsidRDefault="000E1966" w:rsidP="000E1966">
            <w:pPr>
              <w:pStyle w:val="BodyText"/>
              <w:jc w:val="center"/>
              <w:rPr>
                <w:sz w:val="22"/>
                <w:szCs w:val="22"/>
              </w:rPr>
            </w:pPr>
            <w:r w:rsidRPr="005D5EEC">
              <w:rPr>
                <w:sz w:val="22"/>
                <w:szCs w:val="22"/>
              </w:rPr>
              <w:t xml:space="preserve">Formation </w:t>
            </w:r>
          </w:p>
          <w:p w:rsidR="000E1966" w:rsidRPr="005D5EEC" w:rsidRDefault="000E1966" w:rsidP="008B51B7">
            <w:pPr>
              <w:pStyle w:val="BodyText"/>
              <w:jc w:val="center"/>
              <w:rPr>
                <w:sz w:val="22"/>
                <w:szCs w:val="22"/>
              </w:rPr>
            </w:pPr>
            <w:r w:rsidRPr="005D5EEC">
              <w:rPr>
                <w:sz w:val="22"/>
                <w:szCs w:val="22"/>
              </w:rPr>
              <w:t>Type</w:t>
            </w:r>
          </w:p>
        </w:tc>
        <w:tc>
          <w:tcPr>
            <w:tcW w:w="1170" w:type="dxa"/>
            <w:vMerge w:val="restart"/>
          </w:tcPr>
          <w:p w:rsidR="000E1966" w:rsidRPr="005D5EEC" w:rsidRDefault="000E1966" w:rsidP="000E1966">
            <w:pPr>
              <w:pStyle w:val="BodyText"/>
              <w:jc w:val="center"/>
              <w:rPr>
                <w:sz w:val="22"/>
                <w:szCs w:val="22"/>
              </w:rPr>
            </w:pPr>
            <w:r w:rsidRPr="005D5EEC">
              <w:rPr>
                <w:sz w:val="22"/>
                <w:szCs w:val="22"/>
              </w:rPr>
              <w:t>Well Type</w:t>
            </w:r>
          </w:p>
        </w:tc>
        <w:tc>
          <w:tcPr>
            <w:tcW w:w="810" w:type="dxa"/>
            <w:vMerge w:val="restart"/>
          </w:tcPr>
          <w:p w:rsidR="000E1966" w:rsidRPr="005D5EEC" w:rsidRDefault="000E1966" w:rsidP="000E1966">
            <w:pPr>
              <w:spacing w:after="0"/>
              <w:jc w:val="center"/>
              <w:rPr>
                <w:color w:val="000000" w:themeColor="text1"/>
              </w:rPr>
            </w:pPr>
            <w:r w:rsidRPr="005D5EEC">
              <w:rPr>
                <w:rFonts w:ascii="Times New Roman" w:eastAsia="Times New Roman" w:hAnsi="Times New Roman" w:cs="Traditional Arabic"/>
              </w:rPr>
              <w:t>UCS,</w:t>
            </w:r>
            <w:r w:rsidRPr="005D5EEC">
              <w:rPr>
                <w:color w:val="000000" w:themeColor="text1"/>
              </w:rPr>
              <w:t xml:space="preserve"> </w:t>
            </w:r>
            <w:r w:rsidRPr="005D5EEC">
              <w:rPr>
                <w:rFonts w:ascii="Times New Roman" w:eastAsia="Times New Roman" w:hAnsi="Times New Roman" w:cs="Traditional Arabic"/>
              </w:rPr>
              <w:t>MPa</w:t>
            </w:r>
          </w:p>
        </w:tc>
        <w:tc>
          <w:tcPr>
            <w:tcW w:w="990" w:type="dxa"/>
            <w:vMerge w:val="restart"/>
          </w:tcPr>
          <w:p w:rsidR="000E1966" w:rsidRPr="005D5EEC" w:rsidRDefault="000E1966" w:rsidP="000E1966">
            <w:pPr>
              <w:pStyle w:val="BodyText"/>
              <w:ind w:left="-108" w:right="-108"/>
              <w:jc w:val="center"/>
              <w:rPr>
                <w:sz w:val="22"/>
                <w:szCs w:val="22"/>
              </w:rPr>
            </w:pPr>
            <w:r w:rsidRPr="005D5EEC">
              <w:rPr>
                <w:sz w:val="22"/>
                <w:szCs w:val="22"/>
              </w:rPr>
              <w:t>Poisson’s Ratio</w:t>
            </w:r>
          </w:p>
        </w:tc>
        <w:tc>
          <w:tcPr>
            <w:tcW w:w="810" w:type="dxa"/>
            <w:vMerge w:val="restart"/>
          </w:tcPr>
          <w:p w:rsidR="000E1966" w:rsidRDefault="000E1966" w:rsidP="000E1966">
            <w:pPr>
              <w:pStyle w:val="BodyText"/>
              <w:ind w:left="-108" w:right="-108"/>
              <w:jc w:val="center"/>
              <w:rPr>
                <w:sz w:val="22"/>
                <w:szCs w:val="22"/>
              </w:rPr>
            </w:pPr>
            <w:r w:rsidRPr="005D5EEC">
              <w:rPr>
                <w:sz w:val="22"/>
                <w:szCs w:val="22"/>
              </w:rPr>
              <w:t>Friction Angle</w:t>
            </w:r>
            <w:r w:rsidR="00B85C16">
              <w:rPr>
                <w:sz w:val="22"/>
                <w:szCs w:val="22"/>
              </w:rPr>
              <w:t>,</w:t>
            </w:r>
          </w:p>
          <w:p w:rsidR="00B85C16" w:rsidRPr="005D5EEC" w:rsidRDefault="00B85C16" w:rsidP="000E1966">
            <w:pPr>
              <w:pStyle w:val="BodyText"/>
              <w:ind w:left="-108" w:right="-108"/>
              <w:jc w:val="center"/>
              <w:rPr>
                <w:sz w:val="22"/>
                <w:szCs w:val="22"/>
              </w:rPr>
            </w:pPr>
            <w:r>
              <w:rPr>
                <w:sz w:val="22"/>
                <w:szCs w:val="22"/>
              </w:rPr>
              <w:t>Degree</w:t>
            </w:r>
          </w:p>
        </w:tc>
        <w:tc>
          <w:tcPr>
            <w:tcW w:w="4590" w:type="dxa"/>
            <w:gridSpan w:val="6"/>
          </w:tcPr>
          <w:p w:rsidR="000E1966" w:rsidRPr="005D5EEC" w:rsidRDefault="000E1966" w:rsidP="000E1966">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Safe Drilling Window, MPa</w:t>
            </w:r>
          </w:p>
        </w:tc>
      </w:tr>
      <w:tr w:rsidR="000E1966" w:rsidRPr="005D5EEC" w:rsidTr="00B833DA">
        <w:tc>
          <w:tcPr>
            <w:tcW w:w="1818" w:type="dxa"/>
            <w:vMerge/>
          </w:tcPr>
          <w:p w:rsidR="000E1966" w:rsidRPr="005D5EEC" w:rsidRDefault="000E1966" w:rsidP="000E1966">
            <w:pPr>
              <w:pStyle w:val="BodyText"/>
              <w:jc w:val="center"/>
              <w:rPr>
                <w:sz w:val="22"/>
                <w:szCs w:val="22"/>
              </w:rPr>
            </w:pPr>
          </w:p>
        </w:tc>
        <w:tc>
          <w:tcPr>
            <w:tcW w:w="1170" w:type="dxa"/>
            <w:vMerge/>
          </w:tcPr>
          <w:p w:rsidR="000E1966" w:rsidRPr="005D5EEC" w:rsidRDefault="000E1966" w:rsidP="000E1966">
            <w:pPr>
              <w:spacing w:after="0"/>
              <w:rPr>
                <w:color w:val="000000" w:themeColor="text1"/>
              </w:rPr>
            </w:pPr>
          </w:p>
        </w:tc>
        <w:tc>
          <w:tcPr>
            <w:tcW w:w="810" w:type="dxa"/>
            <w:vMerge/>
          </w:tcPr>
          <w:p w:rsidR="000E1966" w:rsidRPr="005D5EEC" w:rsidRDefault="000E1966" w:rsidP="000E1966">
            <w:pPr>
              <w:spacing w:after="0"/>
              <w:jc w:val="center"/>
              <w:rPr>
                <w:color w:val="000000" w:themeColor="text1"/>
              </w:rPr>
            </w:pPr>
          </w:p>
        </w:tc>
        <w:tc>
          <w:tcPr>
            <w:tcW w:w="990" w:type="dxa"/>
            <w:vMerge/>
          </w:tcPr>
          <w:p w:rsidR="000E1966" w:rsidRPr="005D5EEC" w:rsidRDefault="000E1966" w:rsidP="000E1966">
            <w:pPr>
              <w:spacing w:after="0"/>
              <w:jc w:val="center"/>
              <w:rPr>
                <w:color w:val="000000" w:themeColor="text1"/>
              </w:rPr>
            </w:pPr>
          </w:p>
        </w:tc>
        <w:tc>
          <w:tcPr>
            <w:tcW w:w="810" w:type="dxa"/>
            <w:vMerge/>
          </w:tcPr>
          <w:p w:rsidR="000E1966" w:rsidRPr="005D5EEC" w:rsidRDefault="000E1966" w:rsidP="000E1966">
            <w:pPr>
              <w:spacing w:after="0"/>
              <w:jc w:val="center"/>
              <w:rPr>
                <w:color w:val="000000" w:themeColor="text1"/>
              </w:rPr>
            </w:pPr>
          </w:p>
        </w:tc>
        <w:tc>
          <w:tcPr>
            <w:tcW w:w="1530" w:type="dxa"/>
            <w:gridSpan w:val="2"/>
          </w:tcPr>
          <w:p w:rsidR="000E1966" w:rsidRPr="005D5EEC" w:rsidRDefault="000E1966" w:rsidP="000E1966">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OBD</w:t>
            </w:r>
          </w:p>
        </w:tc>
        <w:tc>
          <w:tcPr>
            <w:tcW w:w="1440" w:type="dxa"/>
            <w:gridSpan w:val="2"/>
          </w:tcPr>
          <w:p w:rsidR="000E1966" w:rsidRPr="005D5EEC" w:rsidRDefault="000E1966" w:rsidP="000E1966">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MPD</w:t>
            </w:r>
          </w:p>
        </w:tc>
        <w:tc>
          <w:tcPr>
            <w:tcW w:w="1620" w:type="dxa"/>
            <w:gridSpan w:val="2"/>
          </w:tcPr>
          <w:p w:rsidR="000E1966" w:rsidRPr="005D5EEC" w:rsidRDefault="000E1966" w:rsidP="000E1966">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UBD</w:t>
            </w:r>
          </w:p>
        </w:tc>
      </w:tr>
      <w:tr w:rsidR="00EC1AEA" w:rsidRPr="005D5EEC" w:rsidTr="00B833DA">
        <w:tc>
          <w:tcPr>
            <w:tcW w:w="1818" w:type="dxa"/>
            <w:vMerge/>
            <w:vAlign w:val="center"/>
          </w:tcPr>
          <w:p w:rsidR="00EC1AEA" w:rsidRPr="005D5EEC" w:rsidRDefault="00EC1AEA" w:rsidP="00EC1AEA">
            <w:pPr>
              <w:pStyle w:val="BodyText"/>
              <w:jc w:val="center"/>
              <w:rPr>
                <w:sz w:val="22"/>
                <w:szCs w:val="22"/>
              </w:rPr>
            </w:pPr>
          </w:p>
        </w:tc>
        <w:tc>
          <w:tcPr>
            <w:tcW w:w="1170" w:type="dxa"/>
            <w:vMerge/>
            <w:vAlign w:val="center"/>
          </w:tcPr>
          <w:p w:rsidR="00EC1AEA" w:rsidRPr="005D5EEC" w:rsidRDefault="00EC1AEA" w:rsidP="00EC1AEA">
            <w:pPr>
              <w:spacing w:after="0"/>
              <w:jc w:val="center"/>
              <w:rPr>
                <w:color w:val="000000" w:themeColor="text1"/>
              </w:rPr>
            </w:pPr>
          </w:p>
        </w:tc>
        <w:tc>
          <w:tcPr>
            <w:tcW w:w="810" w:type="dxa"/>
            <w:vMerge/>
            <w:vAlign w:val="center"/>
          </w:tcPr>
          <w:p w:rsidR="00EC1AEA" w:rsidRPr="005D5EEC" w:rsidRDefault="00EC1AEA" w:rsidP="00EC1AEA">
            <w:pPr>
              <w:spacing w:after="0"/>
              <w:ind w:left="-261"/>
              <w:jc w:val="right"/>
              <w:rPr>
                <w:color w:val="000000" w:themeColor="text1"/>
              </w:rPr>
            </w:pPr>
          </w:p>
        </w:tc>
        <w:tc>
          <w:tcPr>
            <w:tcW w:w="990" w:type="dxa"/>
            <w:vMerge/>
            <w:vAlign w:val="center"/>
          </w:tcPr>
          <w:p w:rsidR="00EC1AEA" w:rsidRPr="005D5EEC" w:rsidRDefault="00EC1AEA" w:rsidP="00EC1AEA">
            <w:pPr>
              <w:spacing w:after="0"/>
              <w:jc w:val="center"/>
              <w:rPr>
                <w:color w:val="000000" w:themeColor="text1"/>
              </w:rPr>
            </w:pPr>
          </w:p>
        </w:tc>
        <w:tc>
          <w:tcPr>
            <w:tcW w:w="810" w:type="dxa"/>
            <w:vMerge/>
            <w:vAlign w:val="center"/>
          </w:tcPr>
          <w:p w:rsidR="00EC1AEA" w:rsidRPr="005D5EEC" w:rsidRDefault="00EC1AEA" w:rsidP="00EC1AEA">
            <w:pPr>
              <w:spacing w:after="0"/>
              <w:jc w:val="center"/>
              <w:rPr>
                <w:color w:val="000000" w:themeColor="text1"/>
              </w:rPr>
            </w:pPr>
          </w:p>
        </w:tc>
        <w:tc>
          <w:tcPr>
            <w:tcW w:w="990" w:type="dxa"/>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540" w:type="dxa"/>
          </w:tcPr>
          <w:p w:rsidR="00EC1AEA" w:rsidRPr="005D5EEC" w:rsidRDefault="00EC1AEA" w:rsidP="00EC1AEA">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p>
        </w:tc>
        <w:tc>
          <w:tcPr>
            <w:tcW w:w="900" w:type="dxa"/>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540" w:type="dxa"/>
          </w:tcPr>
          <w:p w:rsidR="00EC1AEA" w:rsidRPr="005D5EEC" w:rsidRDefault="00EC1AEA" w:rsidP="00EC1AEA">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p>
        </w:tc>
        <w:tc>
          <w:tcPr>
            <w:tcW w:w="990" w:type="dxa"/>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30" w:type="dxa"/>
          </w:tcPr>
          <w:p w:rsidR="00EC1AEA" w:rsidRPr="005D5EEC" w:rsidRDefault="00EC1AEA" w:rsidP="00EC1AEA">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p>
        </w:tc>
      </w:tr>
      <w:tr w:rsidR="00661D0E" w:rsidRPr="005D5EEC" w:rsidTr="004F57F4">
        <w:tc>
          <w:tcPr>
            <w:tcW w:w="1818" w:type="dxa"/>
            <w:vAlign w:val="center"/>
          </w:tcPr>
          <w:p w:rsidR="00661D0E" w:rsidRPr="005D5EEC" w:rsidRDefault="00661D0E" w:rsidP="00661D0E">
            <w:pPr>
              <w:pStyle w:val="BodyText"/>
              <w:ind w:right="-108"/>
              <w:jc w:val="left"/>
              <w:rPr>
                <w:rFonts w:asciiTheme="majorBidi" w:hAnsiTheme="majorBidi" w:cstheme="majorBidi"/>
                <w:sz w:val="22"/>
                <w:szCs w:val="22"/>
              </w:rPr>
            </w:pPr>
            <w:r w:rsidRPr="005D5EEC">
              <w:rPr>
                <w:rFonts w:asciiTheme="majorBidi" w:hAnsiTheme="majorBidi" w:cstheme="majorBidi"/>
                <w:sz w:val="22"/>
                <w:szCs w:val="22"/>
              </w:rPr>
              <w:t>Very Weak  (R</w:t>
            </w:r>
            <w:r>
              <w:rPr>
                <w:rFonts w:asciiTheme="majorBidi" w:hAnsiTheme="majorBidi" w:cstheme="majorBidi"/>
                <w:sz w:val="22"/>
                <w:szCs w:val="22"/>
              </w:rPr>
              <w:t>1</w:t>
            </w:r>
            <w:r w:rsidRPr="005D5EEC">
              <w:rPr>
                <w:rFonts w:asciiTheme="majorBidi" w:hAnsiTheme="majorBidi" w:cstheme="majorBidi"/>
                <w:sz w:val="22"/>
                <w:szCs w:val="22"/>
              </w:rPr>
              <w:t>)</w:t>
            </w:r>
          </w:p>
        </w:tc>
        <w:tc>
          <w:tcPr>
            <w:tcW w:w="1170" w:type="dxa"/>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Vertical</w:t>
            </w:r>
          </w:p>
        </w:tc>
        <w:tc>
          <w:tcPr>
            <w:tcW w:w="810" w:type="dxa"/>
          </w:tcPr>
          <w:p w:rsidR="00661D0E" w:rsidRPr="005D5EEC" w:rsidRDefault="00661D0E" w:rsidP="00661D0E">
            <w:pPr>
              <w:spacing w:after="0"/>
              <w:ind w:left="-11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6.9</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0.20</w:t>
            </w:r>
          </w:p>
        </w:tc>
        <w:tc>
          <w:tcPr>
            <w:tcW w:w="81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21</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+3.2</w:t>
            </w:r>
          </w:p>
        </w:tc>
        <w:tc>
          <w:tcPr>
            <w:tcW w:w="540" w:type="dxa"/>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54.2</w:t>
            </w:r>
          </w:p>
        </w:tc>
        <w:tc>
          <w:tcPr>
            <w:tcW w:w="90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w:t>
            </w:r>
          </w:p>
        </w:tc>
        <w:tc>
          <w:tcPr>
            <w:tcW w:w="54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51</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-19.4</w:t>
            </w:r>
          </w:p>
        </w:tc>
        <w:tc>
          <w:tcPr>
            <w:tcW w:w="63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31.6</w:t>
            </w:r>
          </w:p>
        </w:tc>
      </w:tr>
      <w:tr w:rsidR="00661D0E" w:rsidRPr="005D5EEC" w:rsidTr="00DD4499">
        <w:tc>
          <w:tcPr>
            <w:tcW w:w="1818" w:type="dxa"/>
            <w:vAlign w:val="center"/>
          </w:tcPr>
          <w:p w:rsidR="00661D0E" w:rsidRPr="005D5EEC" w:rsidRDefault="00661D0E" w:rsidP="00661D0E">
            <w:pPr>
              <w:pStyle w:val="BodyText"/>
              <w:jc w:val="left"/>
              <w:rPr>
                <w:rFonts w:asciiTheme="majorBidi" w:hAnsiTheme="majorBidi" w:cstheme="majorBidi"/>
                <w:sz w:val="22"/>
                <w:szCs w:val="22"/>
              </w:rPr>
            </w:pPr>
            <w:r w:rsidRPr="005D5EEC">
              <w:rPr>
                <w:rFonts w:asciiTheme="majorBidi" w:hAnsiTheme="majorBidi" w:cstheme="majorBidi"/>
                <w:sz w:val="22"/>
                <w:szCs w:val="22"/>
              </w:rPr>
              <w:t>Weak (R2)</w:t>
            </w:r>
          </w:p>
        </w:tc>
        <w:tc>
          <w:tcPr>
            <w:tcW w:w="1170" w:type="dxa"/>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Vertical</w:t>
            </w:r>
          </w:p>
        </w:tc>
        <w:tc>
          <w:tcPr>
            <w:tcW w:w="810" w:type="dxa"/>
          </w:tcPr>
          <w:p w:rsidR="00661D0E" w:rsidRPr="005D5EEC" w:rsidRDefault="00661D0E" w:rsidP="00661D0E">
            <w:pPr>
              <w:spacing w:after="0"/>
              <w:ind w:left="-11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20.6</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0.23</w:t>
            </w:r>
          </w:p>
        </w:tc>
        <w:tc>
          <w:tcPr>
            <w:tcW w:w="81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26</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+8.1</w:t>
            </w:r>
          </w:p>
        </w:tc>
        <w:tc>
          <w:tcPr>
            <w:tcW w:w="540" w:type="dxa"/>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59.1</w:t>
            </w:r>
          </w:p>
        </w:tc>
        <w:tc>
          <w:tcPr>
            <w:tcW w:w="90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w:t>
            </w:r>
          </w:p>
        </w:tc>
        <w:tc>
          <w:tcPr>
            <w:tcW w:w="54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51</w:t>
            </w:r>
          </w:p>
        </w:tc>
        <w:tc>
          <w:tcPr>
            <w:tcW w:w="99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-29.2</w:t>
            </w:r>
          </w:p>
        </w:tc>
        <w:tc>
          <w:tcPr>
            <w:tcW w:w="63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21.8</w:t>
            </w:r>
          </w:p>
        </w:tc>
      </w:tr>
      <w:tr w:rsidR="00661D0E" w:rsidRPr="005D5EEC" w:rsidTr="00B833DA">
        <w:tc>
          <w:tcPr>
            <w:tcW w:w="1818" w:type="dxa"/>
            <w:vAlign w:val="center"/>
          </w:tcPr>
          <w:p w:rsidR="00661D0E" w:rsidRPr="005D5EEC" w:rsidRDefault="00661D0E" w:rsidP="00661D0E">
            <w:pPr>
              <w:pStyle w:val="BodyText"/>
              <w:jc w:val="left"/>
              <w:rPr>
                <w:rFonts w:asciiTheme="majorBidi" w:hAnsiTheme="majorBidi" w:cstheme="majorBidi"/>
                <w:sz w:val="22"/>
                <w:szCs w:val="22"/>
              </w:rPr>
            </w:pPr>
            <w:r w:rsidRPr="005D5EEC">
              <w:rPr>
                <w:rFonts w:asciiTheme="majorBidi" w:hAnsiTheme="majorBidi" w:cstheme="majorBidi"/>
                <w:sz w:val="22"/>
                <w:szCs w:val="22"/>
              </w:rPr>
              <w:t xml:space="preserve">Med. Strong </w:t>
            </w:r>
            <w:r>
              <w:rPr>
                <w:rFonts w:asciiTheme="majorBidi" w:hAnsiTheme="majorBidi" w:cstheme="majorBidi"/>
                <w:sz w:val="22"/>
                <w:szCs w:val="22"/>
              </w:rPr>
              <w:t>(</w:t>
            </w:r>
            <w:r w:rsidRPr="005D5EEC">
              <w:rPr>
                <w:rFonts w:asciiTheme="majorBidi" w:hAnsiTheme="majorBidi" w:cstheme="majorBidi"/>
                <w:sz w:val="22"/>
                <w:szCs w:val="22"/>
              </w:rPr>
              <w:t>R</w:t>
            </w:r>
            <w:r>
              <w:rPr>
                <w:rFonts w:asciiTheme="majorBidi" w:hAnsiTheme="majorBidi" w:cstheme="majorBidi"/>
                <w:sz w:val="22"/>
                <w:szCs w:val="22"/>
              </w:rPr>
              <w:t>3</w:t>
            </w:r>
            <w:r w:rsidRPr="005D5EEC">
              <w:rPr>
                <w:rFonts w:asciiTheme="majorBidi" w:hAnsiTheme="majorBidi" w:cstheme="majorBidi"/>
                <w:sz w:val="22"/>
                <w:szCs w:val="22"/>
              </w:rPr>
              <w:t>)</w:t>
            </w:r>
          </w:p>
        </w:tc>
        <w:tc>
          <w:tcPr>
            <w:tcW w:w="1170" w:type="dxa"/>
            <w:vAlign w:val="center"/>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Vertical</w:t>
            </w:r>
          </w:p>
        </w:tc>
        <w:tc>
          <w:tcPr>
            <w:tcW w:w="810" w:type="dxa"/>
            <w:vAlign w:val="center"/>
          </w:tcPr>
          <w:p w:rsidR="00661D0E" w:rsidRPr="005D5EEC" w:rsidRDefault="00661D0E" w:rsidP="00661D0E">
            <w:pPr>
              <w:spacing w:after="0"/>
              <w:ind w:left="-11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35.6</w:t>
            </w:r>
          </w:p>
        </w:tc>
        <w:tc>
          <w:tcPr>
            <w:tcW w:w="99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0.25</w:t>
            </w:r>
          </w:p>
        </w:tc>
        <w:tc>
          <w:tcPr>
            <w:tcW w:w="81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31.4</w:t>
            </w:r>
          </w:p>
        </w:tc>
        <w:tc>
          <w:tcPr>
            <w:tcW w:w="990" w:type="dxa"/>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+11.2</w:t>
            </w:r>
          </w:p>
        </w:tc>
        <w:tc>
          <w:tcPr>
            <w:tcW w:w="540" w:type="dxa"/>
          </w:tcPr>
          <w:p w:rsidR="00661D0E" w:rsidRPr="005D5EEC" w:rsidRDefault="00661D0E" w:rsidP="00661D0E">
            <w:pPr>
              <w:spacing w:after="0"/>
              <w:ind w:left="-108" w:right="-108"/>
              <w:jc w:val="center"/>
              <w:rPr>
                <w:rFonts w:asciiTheme="majorBidi" w:hAnsiTheme="majorBidi" w:cstheme="majorBidi"/>
                <w:color w:val="000000" w:themeColor="text1"/>
              </w:rPr>
            </w:pPr>
            <w:r w:rsidRPr="005D5EEC">
              <w:rPr>
                <w:rFonts w:asciiTheme="majorBidi" w:hAnsiTheme="majorBidi" w:cstheme="majorBidi"/>
                <w:color w:val="000000" w:themeColor="text1"/>
              </w:rPr>
              <w:t>62.2</w:t>
            </w:r>
          </w:p>
        </w:tc>
        <w:tc>
          <w:tcPr>
            <w:tcW w:w="90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0</w:t>
            </w:r>
          </w:p>
        </w:tc>
        <w:tc>
          <w:tcPr>
            <w:tcW w:w="54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51</w:t>
            </w:r>
          </w:p>
        </w:tc>
        <w:tc>
          <w:tcPr>
            <w:tcW w:w="99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-39.9</w:t>
            </w:r>
          </w:p>
        </w:tc>
        <w:tc>
          <w:tcPr>
            <w:tcW w:w="630" w:type="dxa"/>
            <w:vAlign w:val="center"/>
          </w:tcPr>
          <w:p w:rsidR="00661D0E" w:rsidRPr="005D5EEC" w:rsidRDefault="00661D0E" w:rsidP="00661D0E">
            <w:pPr>
              <w:spacing w:after="0"/>
              <w:jc w:val="center"/>
              <w:rPr>
                <w:rFonts w:asciiTheme="majorBidi" w:hAnsiTheme="majorBidi" w:cstheme="majorBidi"/>
                <w:color w:val="000000" w:themeColor="text1"/>
              </w:rPr>
            </w:pPr>
            <w:r w:rsidRPr="005D5EEC">
              <w:rPr>
                <w:rFonts w:asciiTheme="majorBidi" w:hAnsiTheme="majorBidi" w:cstheme="majorBidi"/>
                <w:color w:val="000000" w:themeColor="text1"/>
              </w:rPr>
              <w:t>11.1</w:t>
            </w:r>
          </w:p>
        </w:tc>
      </w:tr>
    </w:tbl>
    <w:p w:rsidR="00667086" w:rsidRDefault="00EC7EB1" w:rsidP="00F55E55">
      <w:pPr>
        <w:spacing w:before="360" w:after="120" w:line="240" w:lineRule="exact"/>
        <w:ind w:left="-720" w:right="-666"/>
        <w:jc w:val="center"/>
        <w:rPr>
          <w:rFonts w:ascii="Times New Roman" w:hAnsi="Times New Roman" w:cs="Times New Roman"/>
        </w:rPr>
      </w:pPr>
      <w:r w:rsidRPr="00667086">
        <w:rPr>
          <w:rFonts w:ascii="Times New Roman" w:hAnsi="Times New Roman" w:cs="Times New Roman"/>
        </w:rPr>
        <w:t xml:space="preserve">Table 3 Summary of the </w:t>
      </w:r>
      <w:r w:rsidR="008B4E34">
        <w:rPr>
          <w:rFonts w:ascii="Times New Roman" w:hAnsi="Times New Roman" w:cs="Times New Roman"/>
        </w:rPr>
        <w:t>r</w:t>
      </w:r>
      <w:r w:rsidRPr="00667086">
        <w:rPr>
          <w:rFonts w:ascii="Times New Roman" w:hAnsi="Times New Roman" w:cs="Times New Roman"/>
        </w:rPr>
        <w:t xml:space="preserve">esults of </w:t>
      </w:r>
      <w:r w:rsidR="00F55E55">
        <w:rPr>
          <w:rFonts w:ascii="Times New Roman" w:hAnsi="Times New Roman" w:cs="Times New Roman"/>
        </w:rPr>
        <w:t>drilling</w:t>
      </w:r>
      <w:r w:rsidR="00F55E55" w:rsidRPr="00667086">
        <w:rPr>
          <w:rFonts w:ascii="Times New Roman" w:hAnsi="Times New Roman" w:cs="Times New Roman"/>
        </w:rPr>
        <w:t xml:space="preserve"> </w:t>
      </w:r>
      <w:r w:rsidR="00F55E55">
        <w:rPr>
          <w:rFonts w:ascii="Times New Roman" w:hAnsi="Times New Roman" w:cs="Times New Roman"/>
        </w:rPr>
        <w:t>v</w:t>
      </w:r>
      <w:r w:rsidR="00F55E55" w:rsidRPr="00667086">
        <w:rPr>
          <w:rFonts w:ascii="Times New Roman" w:hAnsi="Times New Roman" w:cs="Times New Roman"/>
        </w:rPr>
        <w:t xml:space="preserve">ertical and </w:t>
      </w:r>
      <w:r w:rsidR="00F55E55">
        <w:rPr>
          <w:rFonts w:ascii="Times New Roman" w:hAnsi="Times New Roman" w:cs="Times New Roman"/>
        </w:rPr>
        <w:t>h</w:t>
      </w:r>
      <w:r w:rsidR="00F55E55" w:rsidRPr="00667086">
        <w:rPr>
          <w:rFonts w:ascii="Times New Roman" w:hAnsi="Times New Roman" w:cs="Times New Roman"/>
        </w:rPr>
        <w:t xml:space="preserve">orizontal </w:t>
      </w:r>
      <w:r w:rsidR="00F55E55">
        <w:rPr>
          <w:rFonts w:ascii="Times New Roman" w:hAnsi="Times New Roman" w:cs="Times New Roman"/>
        </w:rPr>
        <w:t>h</w:t>
      </w:r>
      <w:r w:rsidR="00F55E55" w:rsidRPr="00667086">
        <w:rPr>
          <w:rFonts w:ascii="Times New Roman" w:hAnsi="Times New Roman" w:cs="Times New Roman"/>
        </w:rPr>
        <w:t xml:space="preserve">ypothetical </w:t>
      </w:r>
      <w:r w:rsidR="00F55E55">
        <w:rPr>
          <w:rFonts w:ascii="Times New Roman" w:hAnsi="Times New Roman" w:cs="Times New Roman"/>
        </w:rPr>
        <w:t>w</w:t>
      </w:r>
      <w:r w:rsidR="00F55E55" w:rsidRPr="00667086">
        <w:rPr>
          <w:rFonts w:ascii="Times New Roman" w:hAnsi="Times New Roman" w:cs="Times New Roman"/>
        </w:rPr>
        <w:t xml:space="preserve">ells </w:t>
      </w:r>
      <w:r w:rsidR="00F55E55">
        <w:rPr>
          <w:rFonts w:ascii="Times New Roman" w:hAnsi="Times New Roman" w:cs="Times New Roman"/>
        </w:rPr>
        <w:t>in R1 formation</w:t>
      </w:r>
    </w:p>
    <w:tbl>
      <w:tblPr>
        <w:tblStyle w:val="TableGrid"/>
        <w:tblpPr w:leftFromText="180" w:rightFromText="180" w:vertAnchor="text" w:tblpX="-612" w:tblpY="1"/>
        <w:tblOverlap w:val="never"/>
        <w:tblW w:w="10188" w:type="dxa"/>
        <w:tblLayout w:type="fixed"/>
        <w:tblLook w:val="04A0" w:firstRow="1" w:lastRow="0" w:firstColumn="1" w:lastColumn="0" w:noHBand="0" w:noVBand="1"/>
      </w:tblPr>
      <w:tblGrid>
        <w:gridCol w:w="1455"/>
        <w:gridCol w:w="1527"/>
        <w:gridCol w:w="816"/>
        <w:gridCol w:w="990"/>
        <w:gridCol w:w="810"/>
        <w:gridCol w:w="900"/>
        <w:gridCol w:w="693"/>
        <w:gridCol w:w="810"/>
        <w:gridCol w:w="657"/>
        <w:gridCol w:w="873"/>
        <w:gridCol w:w="657"/>
      </w:tblGrid>
      <w:tr w:rsidR="00F55E55" w:rsidRPr="00D50E2F" w:rsidTr="005A79BE">
        <w:tc>
          <w:tcPr>
            <w:tcW w:w="1455" w:type="dxa"/>
            <w:vMerge w:val="restart"/>
          </w:tcPr>
          <w:p w:rsidR="00F55E55" w:rsidRPr="00B953D4" w:rsidRDefault="00F55E55" w:rsidP="005A79BE">
            <w:pPr>
              <w:pStyle w:val="BodyText"/>
              <w:jc w:val="center"/>
              <w:rPr>
                <w:sz w:val="22"/>
                <w:szCs w:val="22"/>
              </w:rPr>
            </w:pPr>
            <w:r w:rsidRPr="00B953D4">
              <w:rPr>
                <w:sz w:val="22"/>
                <w:szCs w:val="22"/>
              </w:rPr>
              <w:t>Formation Type</w:t>
            </w:r>
          </w:p>
        </w:tc>
        <w:tc>
          <w:tcPr>
            <w:tcW w:w="1527" w:type="dxa"/>
            <w:vMerge w:val="restart"/>
          </w:tcPr>
          <w:p w:rsidR="00F55E55" w:rsidRPr="00B953D4" w:rsidRDefault="00F55E55" w:rsidP="005A79BE">
            <w:pPr>
              <w:pStyle w:val="BodyText"/>
              <w:jc w:val="center"/>
              <w:rPr>
                <w:sz w:val="22"/>
                <w:szCs w:val="22"/>
              </w:rPr>
            </w:pPr>
            <w:r w:rsidRPr="00B953D4">
              <w:rPr>
                <w:sz w:val="22"/>
                <w:szCs w:val="22"/>
              </w:rPr>
              <w:t xml:space="preserve">Well </w:t>
            </w:r>
          </w:p>
          <w:p w:rsidR="00F55E55" w:rsidRPr="00B953D4" w:rsidRDefault="00F55E55" w:rsidP="005A79BE">
            <w:pPr>
              <w:pStyle w:val="BodyText"/>
              <w:jc w:val="center"/>
              <w:rPr>
                <w:sz w:val="22"/>
                <w:szCs w:val="22"/>
              </w:rPr>
            </w:pPr>
            <w:r w:rsidRPr="00B953D4">
              <w:rPr>
                <w:sz w:val="22"/>
                <w:szCs w:val="22"/>
              </w:rPr>
              <w:t>Type</w:t>
            </w:r>
          </w:p>
        </w:tc>
        <w:tc>
          <w:tcPr>
            <w:tcW w:w="816" w:type="dxa"/>
            <w:vMerge w:val="restart"/>
          </w:tcPr>
          <w:p w:rsidR="00F55E55" w:rsidRPr="00B953D4" w:rsidRDefault="00F55E55" w:rsidP="005A79BE">
            <w:pPr>
              <w:spacing w:after="0"/>
              <w:ind w:left="-108" w:right="-108"/>
              <w:jc w:val="center"/>
              <w:rPr>
                <w:color w:val="000000" w:themeColor="text1"/>
              </w:rPr>
            </w:pPr>
            <w:r w:rsidRPr="00B953D4">
              <w:rPr>
                <w:rFonts w:ascii="Times New Roman" w:eastAsia="Times New Roman" w:hAnsi="Times New Roman" w:cs="Traditional Arabic"/>
              </w:rPr>
              <w:t>UCS,</w:t>
            </w:r>
            <w:r w:rsidRPr="00B953D4">
              <w:rPr>
                <w:color w:val="000000" w:themeColor="text1"/>
              </w:rPr>
              <w:t xml:space="preserve"> </w:t>
            </w:r>
            <w:r w:rsidRPr="00B953D4">
              <w:rPr>
                <w:rFonts w:ascii="Times New Roman" w:eastAsia="Times New Roman" w:hAnsi="Times New Roman" w:cs="Traditional Arabic"/>
              </w:rPr>
              <w:t>MPa</w:t>
            </w:r>
          </w:p>
        </w:tc>
        <w:tc>
          <w:tcPr>
            <w:tcW w:w="990" w:type="dxa"/>
            <w:vMerge w:val="restart"/>
          </w:tcPr>
          <w:p w:rsidR="00F55E55" w:rsidRPr="00B953D4" w:rsidRDefault="00F55E55" w:rsidP="005A79BE">
            <w:pPr>
              <w:pStyle w:val="BodyText"/>
              <w:ind w:left="-108" w:right="-108"/>
              <w:jc w:val="center"/>
              <w:rPr>
                <w:sz w:val="22"/>
                <w:szCs w:val="22"/>
              </w:rPr>
            </w:pPr>
            <w:r w:rsidRPr="00B953D4">
              <w:rPr>
                <w:sz w:val="22"/>
                <w:szCs w:val="22"/>
              </w:rPr>
              <w:t>Poisson’s Ratio</w:t>
            </w:r>
          </w:p>
        </w:tc>
        <w:tc>
          <w:tcPr>
            <w:tcW w:w="810" w:type="dxa"/>
            <w:vMerge w:val="restart"/>
          </w:tcPr>
          <w:p w:rsidR="00F55E55" w:rsidRDefault="00F55E55" w:rsidP="005A79BE">
            <w:pPr>
              <w:pStyle w:val="BodyText"/>
              <w:ind w:left="-108" w:right="-108"/>
              <w:jc w:val="center"/>
              <w:rPr>
                <w:sz w:val="22"/>
                <w:szCs w:val="22"/>
              </w:rPr>
            </w:pPr>
            <w:r w:rsidRPr="00B953D4">
              <w:rPr>
                <w:sz w:val="22"/>
                <w:szCs w:val="22"/>
              </w:rPr>
              <w:t>Friction Angle</w:t>
            </w:r>
            <w:r>
              <w:rPr>
                <w:sz w:val="22"/>
                <w:szCs w:val="22"/>
              </w:rPr>
              <w:t>,</w:t>
            </w:r>
          </w:p>
          <w:p w:rsidR="00F55E55" w:rsidRPr="00B953D4" w:rsidRDefault="00F55E55" w:rsidP="005A79BE">
            <w:pPr>
              <w:pStyle w:val="BodyText"/>
              <w:ind w:left="-108" w:right="-108"/>
              <w:jc w:val="center"/>
              <w:rPr>
                <w:sz w:val="22"/>
                <w:szCs w:val="22"/>
              </w:rPr>
            </w:pPr>
            <w:r>
              <w:rPr>
                <w:sz w:val="22"/>
                <w:szCs w:val="22"/>
              </w:rPr>
              <w:t>Degree</w:t>
            </w:r>
          </w:p>
        </w:tc>
        <w:tc>
          <w:tcPr>
            <w:tcW w:w="4590" w:type="dxa"/>
            <w:gridSpan w:val="6"/>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Safe Drilling Window, MPa</w:t>
            </w:r>
          </w:p>
        </w:tc>
      </w:tr>
      <w:tr w:rsidR="00F55E55" w:rsidRPr="00D50E2F" w:rsidTr="005A79BE">
        <w:trPr>
          <w:trHeight w:val="149"/>
        </w:trPr>
        <w:tc>
          <w:tcPr>
            <w:tcW w:w="1455" w:type="dxa"/>
            <w:vMerge/>
          </w:tcPr>
          <w:p w:rsidR="00F55E55" w:rsidRPr="00D50E2F" w:rsidRDefault="00F55E55" w:rsidP="005A79BE">
            <w:pPr>
              <w:spacing w:after="0"/>
              <w:ind w:left="-90" w:right="-108"/>
              <w:rPr>
                <w:color w:val="000000" w:themeColor="text1"/>
              </w:rPr>
            </w:pPr>
          </w:p>
        </w:tc>
        <w:tc>
          <w:tcPr>
            <w:tcW w:w="1527" w:type="dxa"/>
            <w:vMerge/>
          </w:tcPr>
          <w:p w:rsidR="00F55E55" w:rsidRPr="00D50E2F" w:rsidRDefault="00F55E55" w:rsidP="005A79BE">
            <w:pPr>
              <w:spacing w:after="0"/>
              <w:rPr>
                <w:color w:val="000000" w:themeColor="text1"/>
              </w:rPr>
            </w:pPr>
          </w:p>
        </w:tc>
        <w:tc>
          <w:tcPr>
            <w:tcW w:w="816" w:type="dxa"/>
            <w:vMerge/>
          </w:tcPr>
          <w:p w:rsidR="00F55E55" w:rsidRPr="00D50E2F" w:rsidRDefault="00F55E55" w:rsidP="005A79BE">
            <w:pPr>
              <w:spacing w:after="0"/>
              <w:jc w:val="center"/>
              <w:rPr>
                <w:color w:val="000000" w:themeColor="text1"/>
              </w:rPr>
            </w:pPr>
          </w:p>
        </w:tc>
        <w:tc>
          <w:tcPr>
            <w:tcW w:w="990" w:type="dxa"/>
            <w:vMerge/>
          </w:tcPr>
          <w:p w:rsidR="00F55E55" w:rsidRPr="00D50E2F" w:rsidRDefault="00F55E55" w:rsidP="005A79BE">
            <w:pPr>
              <w:spacing w:after="0"/>
              <w:jc w:val="center"/>
              <w:rPr>
                <w:color w:val="000000" w:themeColor="text1"/>
              </w:rPr>
            </w:pPr>
          </w:p>
        </w:tc>
        <w:tc>
          <w:tcPr>
            <w:tcW w:w="810" w:type="dxa"/>
            <w:vMerge/>
          </w:tcPr>
          <w:p w:rsidR="00F55E55" w:rsidRPr="00D50E2F" w:rsidRDefault="00F55E55" w:rsidP="005A79BE">
            <w:pPr>
              <w:spacing w:after="0"/>
              <w:jc w:val="center"/>
              <w:rPr>
                <w:color w:val="000000" w:themeColor="text1"/>
              </w:rPr>
            </w:pPr>
          </w:p>
        </w:tc>
        <w:tc>
          <w:tcPr>
            <w:tcW w:w="1593" w:type="dxa"/>
            <w:gridSpan w:val="2"/>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OBD</w:t>
            </w:r>
          </w:p>
        </w:tc>
        <w:tc>
          <w:tcPr>
            <w:tcW w:w="1467" w:type="dxa"/>
            <w:gridSpan w:val="2"/>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MPD</w:t>
            </w:r>
          </w:p>
        </w:tc>
        <w:tc>
          <w:tcPr>
            <w:tcW w:w="1530" w:type="dxa"/>
            <w:gridSpan w:val="2"/>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UBD</w:t>
            </w:r>
          </w:p>
        </w:tc>
      </w:tr>
      <w:tr w:rsidR="00F55E55" w:rsidRPr="00D50E2F" w:rsidTr="005A79BE">
        <w:trPr>
          <w:trHeight w:val="116"/>
        </w:trPr>
        <w:tc>
          <w:tcPr>
            <w:tcW w:w="1455" w:type="dxa"/>
            <w:vMerge/>
          </w:tcPr>
          <w:p w:rsidR="00F55E55" w:rsidRPr="00D50E2F" w:rsidRDefault="00F55E55" w:rsidP="005A79BE">
            <w:pPr>
              <w:spacing w:after="0"/>
              <w:ind w:left="-90" w:right="-108"/>
              <w:rPr>
                <w:color w:val="000000" w:themeColor="text1"/>
              </w:rPr>
            </w:pPr>
          </w:p>
        </w:tc>
        <w:tc>
          <w:tcPr>
            <w:tcW w:w="1527" w:type="dxa"/>
            <w:vMerge/>
          </w:tcPr>
          <w:p w:rsidR="00F55E55" w:rsidRPr="00D50E2F" w:rsidRDefault="00F55E55" w:rsidP="005A79BE">
            <w:pPr>
              <w:spacing w:after="0"/>
              <w:rPr>
                <w:color w:val="000000" w:themeColor="text1"/>
              </w:rPr>
            </w:pPr>
          </w:p>
        </w:tc>
        <w:tc>
          <w:tcPr>
            <w:tcW w:w="816" w:type="dxa"/>
            <w:vMerge/>
          </w:tcPr>
          <w:p w:rsidR="00F55E55" w:rsidRPr="00D50E2F" w:rsidRDefault="00F55E55" w:rsidP="005A79BE">
            <w:pPr>
              <w:spacing w:after="0"/>
              <w:jc w:val="center"/>
              <w:rPr>
                <w:color w:val="000000" w:themeColor="text1"/>
              </w:rPr>
            </w:pPr>
          </w:p>
        </w:tc>
        <w:tc>
          <w:tcPr>
            <w:tcW w:w="990" w:type="dxa"/>
            <w:vMerge/>
          </w:tcPr>
          <w:p w:rsidR="00F55E55" w:rsidRPr="00D50E2F" w:rsidRDefault="00F55E55" w:rsidP="005A79BE">
            <w:pPr>
              <w:spacing w:after="0"/>
              <w:jc w:val="center"/>
              <w:rPr>
                <w:color w:val="000000" w:themeColor="text1"/>
              </w:rPr>
            </w:pPr>
          </w:p>
        </w:tc>
        <w:tc>
          <w:tcPr>
            <w:tcW w:w="810" w:type="dxa"/>
            <w:vMerge/>
          </w:tcPr>
          <w:p w:rsidR="00F55E55" w:rsidRPr="00D50E2F" w:rsidRDefault="00F55E55" w:rsidP="005A79BE">
            <w:pPr>
              <w:spacing w:after="0"/>
              <w:jc w:val="center"/>
              <w:rPr>
                <w:color w:val="000000" w:themeColor="text1"/>
              </w:rPr>
            </w:pPr>
          </w:p>
        </w:tc>
        <w:tc>
          <w:tcPr>
            <w:tcW w:w="900" w:type="dxa"/>
          </w:tcPr>
          <w:p w:rsidR="00F55E55" w:rsidRDefault="00F55E55" w:rsidP="005A79BE">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A79BE">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93" w:type="dxa"/>
            <w:shd w:val="clear" w:color="auto" w:fill="auto"/>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c>
          <w:tcPr>
            <w:tcW w:w="810" w:type="dxa"/>
            <w:shd w:val="clear" w:color="auto" w:fill="auto"/>
          </w:tcPr>
          <w:p w:rsidR="00F55E55" w:rsidRDefault="00F55E55" w:rsidP="005A79BE">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A79BE">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c>
          <w:tcPr>
            <w:tcW w:w="873" w:type="dxa"/>
            <w:shd w:val="clear" w:color="auto" w:fill="auto"/>
          </w:tcPr>
          <w:p w:rsidR="00F55E55" w:rsidRDefault="00F55E55" w:rsidP="005A79BE">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A79BE">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r>
      <w:tr w:rsidR="00F55E55" w:rsidRPr="00D50E2F" w:rsidTr="005A79BE">
        <w:tc>
          <w:tcPr>
            <w:tcW w:w="1455" w:type="dxa"/>
            <w:vMerge w:val="restart"/>
            <w:vAlign w:val="center"/>
          </w:tcPr>
          <w:p w:rsidR="00F55E55" w:rsidRPr="00A06C6C" w:rsidRDefault="00F55E55" w:rsidP="005A79BE">
            <w:pPr>
              <w:spacing w:after="0"/>
              <w:ind w:left="-90" w:right="-108"/>
              <w:jc w:val="center"/>
              <w:rPr>
                <w:rFonts w:asciiTheme="majorBidi" w:hAnsiTheme="majorBidi" w:cstheme="majorBidi"/>
                <w:color w:val="000000" w:themeColor="text1"/>
              </w:rPr>
            </w:pPr>
            <w:r>
              <w:rPr>
                <w:rFonts w:asciiTheme="majorBidi" w:hAnsiTheme="majorBidi" w:cstheme="majorBidi"/>
              </w:rPr>
              <w:t xml:space="preserve">Very Weak </w:t>
            </w:r>
            <w:r w:rsidRPr="00A06C6C">
              <w:rPr>
                <w:rFonts w:asciiTheme="majorBidi" w:hAnsiTheme="majorBidi" w:cstheme="majorBidi"/>
                <w:color w:val="000000" w:themeColor="text1"/>
              </w:rPr>
              <w:t>(R</w:t>
            </w:r>
            <w:r>
              <w:rPr>
                <w:rFonts w:asciiTheme="majorBidi" w:hAnsiTheme="majorBidi" w:cstheme="majorBidi"/>
                <w:color w:val="000000" w:themeColor="text1"/>
              </w:rPr>
              <w:t>1</w:t>
            </w:r>
            <w:r w:rsidRPr="00A06C6C">
              <w:rPr>
                <w:rFonts w:asciiTheme="majorBidi" w:hAnsiTheme="majorBidi" w:cstheme="majorBidi"/>
                <w:color w:val="000000" w:themeColor="text1"/>
              </w:rPr>
              <w:t>)</w:t>
            </w:r>
          </w:p>
        </w:tc>
        <w:tc>
          <w:tcPr>
            <w:tcW w:w="1527" w:type="dxa"/>
            <w:vAlign w:val="center"/>
          </w:tcPr>
          <w:p w:rsidR="00F55E55" w:rsidRPr="00A06C6C" w:rsidRDefault="00F55E55" w:rsidP="005A79BE">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Vertical</w:t>
            </w:r>
          </w:p>
        </w:tc>
        <w:tc>
          <w:tcPr>
            <w:tcW w:w="816"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6.9</w:t>
            </w:r>
          </w:p>
        </w:tc>
        <w:tc>
          <w:tcPr>
            <w:tcW w:w="99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0.20</w:t>
            </w:r>
          </w:p>
        </w:tc>
        <w:tc>
          <w:tcPr>
            <w:tcW w:w="81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21</w:t>
            </w:r>
          </w:p>
        </w:tc>
        <w:tc>
          <w:tcPr>
            <w:tcW w:w="900" w:type="dxa"/>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+3.2</w:t>
            </w:r>
          </w:p>
        </w:tc>
        <w:tc>
          <w:tcPr>
            <w:tcW w:w="693"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54.2</w:t>
            </w:r>
          </w:p>
        </w:tc>
        <w:tc>
          <w:tcPr>
            <w:tcW w:w="810"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0</w:t>
            </w:r>
          </w:p>
        </w:tc>
        <w:tc>
          <w:tcPr>
            <w:tcW w:w="657"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51</w:t>
            </w:r>
          </w:p>
        </w:tc>
        <w:tc>
          <w:tcPr>
            <w:tcW w:w="873"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w:t>
            </w:r>
            <w:r w:rsidRPr="004A1142">
              <w:rPr>
                <w:rFonts w:asciiTheme="majorBidi" w:hAnsiTheme="majorBidi" w:cstheme="majorBidi"/>
                <w:color w:val="000000" w:themeColor="text1"/>
              </w:rPr>
              <w:t>19.4</w:t>
            </w:r>
          </w:p>
        </w:tc>
        <w:tc>
          <w:tcPr>
            <w:tcW w:w="657"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31.6</w:t>
            </w:r>
          </w:p>
        </w:tc>
      </w:tr>
      <w:tr w:rsidR="00F55E55" w:rsidRPr="00D50E2F" w:rsidTr="005A79BE">
        <w:tc>
          <w:tcPr>
            <w:tcW w:w="1455" w:type="dxa"/>
            <w:vMerge/>
            <w:vAlign w:val="center"/>
          </w:tcPr>
          <w:p w:rsidR="00F55E55" w:rsidRPr="00A06C6C" w:rsidRDefault="00F55E55" w:rsidP="005A79BE">
            <w:pPr>
              <w:spacing w:after="0"/>
              <w:ind w:left="-90" w:right="-108"/>
              <w:jc w:val="center"/>
              <w:rPr>
                <w:rFonts w:asciiTheme="majorBidi" w:hAnsiTheme="majorBidi" w:cstheme="majorBidi"/>
                <w:color w:val="000000" w:themeColor="text1"/>
              </w:rPr>
            </w:pPr>
          </w:p>
        </w:tc>
        <w:tc>
          <w:tcPr>
            <w:tcW w:w="1527" w:type="dxa"/>
          </w:tcPr>
          <w:p w:rsidR="00F55E55" w:rsidRPr="00A06C6C" w:rsidRDefault="00F55E55" w:rsidP="005A79BE">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6.9</w:t>
            </w:r>
          </w:p>
        </w:tc>
        <w:tc>
          <w:tcPr>
            <w:tcW w:w="99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0.20</w:t>
            </w:r>
          </w:p>
        </w:tc>
        <w:tc>
          <w:tcPr>
            <w:tcW w:w="81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21</w:t>
            </w:r>
          </w:p>
        </w:tc>
        <w:tc>
          <w:tcPr>
            <w:tcW w:w="900" w:type="dxa"/>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+3.2</w:t>
            </w:r>
          </w:p>
        </w:tc>
        <w:tc>
          <w:tcPr>
            <w:tcW w:w="693"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54.2</w:t>
            </w:r>
          </w:p>
        </w:tc>
        <w:tc>
          <w:tcPr>
            <w:tcW w:w="810"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0</w:t>
            </w:r>
          </w:p>
        </w:tc>
        <w:tc>
          <w:tcPr>
            <w:tcW w:w="657"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51</w:t>
            </w:r>
          </w:p>
        </w:tc>
        <w:tc>
          <w:tcPr>
            <w:tcW w:w="873"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-17.3</w:t>
            </w:r>
          </w:p>
        </w:tc>
        <w:tc>
          <w:tcPr>
            <w:tcW w:w="657"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33.7</w:t>
            </w:r>
          </w:p>
        </w:tc>
      </w:tr>
      <w:tr w:rsidR="00F55E55" w:rsidRPr="00D50E2F" w:rsidTr="005A79BE">
        <w:trPr>
          <w:trHeight w:val="77"/>
        </w:trPr>
        <w:tc>
          <w:tcPr>
            <w:tcW w:w="1455" w:type="dxa"/>
            <w:vMerge/>
            <w:vAlign w:val="center"/>
          </w:tcPr>
          <w:p w:rsidR="00F55E55" w:rsidRPr="00A06C6C" w:rsidRDefault="00F55E55" w:rsidP="005A79BE">
            <w:pPr>
              <w:spacing w:before="120" w:after="120"/>
              <w:ind w:left="-90" w:right="-108"/>
              <w:jc w:val="center"/>
              <w:rPr>
                <w:rFonts w:asciiTheme="majorBidi" w:hAnsiTheme="majorBidi" w:cstheme="majorBidi"/>
                <w:color w:val="000000" w:themeColor="text1"/>
              </w:rPr>
            </w:pPr>
          </w:p>
        </w:tc>
        <w:tc>
          <w:tcPr>
            <w:tcW w:w="1527" w:type="dxa"/>
          </w:tcPr>
          <w:p w:rsidR="00F55E55" w:rsidRPr="00A06C6C" w:rsidRDefault="00F55E55" w:rsidP="005A79BE">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6.9</w:t>
            </w:r>
          </w:p>
        </w:tc>
        <w:tc>
          <w:tcPr>
            <w:tcW w:w="99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0.20</w:t>
            </w:r>
          </w:p>
        </w:tc>
        <w:tc>
          <w:tcPr>
            <w:tcW w:w="810" w:type="dxa"/>
          </w:tcPr>
          <w:p w:rsidR="00F55E55" w:rsidRPr="00A06C6C" w:rsidRDefault="00F55E55" w:rsidP="005A79BE">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21</w:t>
            </w:r>
          </w:p>
        </w:tc>
        <w:tc>
          <w:tcPr>
            <w:tcW w:w="900" w:type="dxa"/>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+3.2</w:t>
            </w:r>
          </w:p>
        </w:tc>
        <w:tc>
          <w:tcPr>
            <w:tcW w:w="693" w:type="dxa"/>
            <w:shd w:val="clear" w:color="auto" w:fill="auto"/>
          </w:tcPr>
          <w:p w:rsidR="00F55E55" w:rsidRPr="004A1142" w:rsidRDefault="00F55E55" w:rsidP="005A79BE">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54.2</w:t>
            </w:r>
          </w:p>
        </w:tc>
        <w:tc>
          <w:tcPr>
            <w:tcW w:w="810"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0</w:t>
            </w:r>
          </w:p>
        </w:tc>
        <w:tc>
          <w:tcPr>
            <w:tcW w:w="657"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51</w:t>
            </w:r>
          </w:p>
        </w:tc>
        <w:tc>
          <w:tcPr>
            <w:tcW w:w="873"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-1.9</w:t>
            </w:r>
          </w:p>
        </w:tc>
        <w:tc>
          <w:tcPr>
            <w:tcW w:w="657" w:type="dxa"/>
            <w:shd w:val="clear" w:color="auto" w:fill="auto"/>
            <w:vAlign w:val="center"/>
          </w:tcPr>
          <w:p w:rsidR="00F55E55" w:rsidRPr="00A06C6C" w:rsidRDefault="00F55E55" w:rsidP="005A79BE">
            <w:pPr>
              <w:spacing w:after="0"/>
              <w:jc w:val="center"/>
              <w:rPr>
                <w:rFonts w:asciiTheme="majorBidi" w:hAnsiTheme="majorBidi" w:cstheme="majorBidi"/>
                <w:color w:val="000000" w:themeColor="text1"/>
              </w:rPr>
            </w:pPr>
            <w:r>
              <w:rPr>
                <w:rFonts w:asciiTheme="majorBidi" w:hAnsiTheme="majorBidi" w:cstheme="majorBidi"/>
                <w:color w:val="000000" w:themeColor="text1"/>
              </w:rPr>
              <w:t>49.1</w:t>
            </w:r>
          </w:p>
        </w:tc>
      </w:tr>
    </w:tbl>
    <w:p w:rsidR="00F55E55" w:rsidRPr="00667086" w:rsidRDefault="00EC7EB1" w:rsidP="00F55E55">
      <w:pPr>
        <w:spacing w:before="360" w:after="120" w:line="240" w:lineRule="exact"/>
        <w:ind w:left="-720" w:right="-666"/>
        <w:jc w:val="center"/>
        <w:rPr>
          <w:rFonts w:ascii="Times New Roman" w:hAnsi="Times New Roman" w:cs="Times New Roman"/>
        </w:rPr>
      </w:pPr>
      <w:r w:rsidRPr="00667086">
        <w:rPr>
          <w:rFonts w:ascii="Times New Roman" w:hAnsi="Times New Roman" w:cs="Times New Roman"/>
        </w:rPr>
        <w:t xml:space="preserve">Table 4 </w:t>
      </w:r>
      <w:r w:rsidR="00F55E55" w:rsidRPr="00667086">
        <w:rPr>
          <w:rFonts w:ascii="Times New Roman" w:hAnsi="Times New Roman" w:cs="Times New Roman"/>
        </w:rPr>
        <w:t xml:space="preserve">Summary of the </w:t>
      </w:r>
      <w:r w:rsidR="00F55E55">
        <w:rPr>
          <w:rFonts w:ascii="Times New Roman" w:hAnsi="Times New Roman" w:cs="Times New Roman"/>
        </w:rPr>
        <w:t>r</w:t>
      </w:r>
      <w:r w:rsidR="00F55E55" w:rsidRPr="00667086">
        <w:rPr>
          <w:rFonts w:ascii="Times New Roman" w:hAnsi="Times New Roman" w:cs="Times New Roman"/>
        </w:rPr>
        <w:t xml:space="preserve">esults of </w:t>
      </w:r>
      <w:r w:rsidR="00F55E55">
        <w:rPr>
          <w:rFonts w:ascii="Times New Roman" w:hAnsi="Times New Roman" w:cs="Times New Roman"/>
        </w:rPr>
        <w:t>drilling</w:t>
      </w:r>
      <w:r w:rsidR="00F55E55" w:rsidRPr="00667086">
        <w:rPr>
          <w:rFonts w:ascii="Times New Roman" w:hAnsi="Times New Roman" w:cs="Times New Roman"/>
        </w:rPr>
        <w:t xml:space="preserve"> </w:t>
      </w:r>
      <w:r w:rsidR="00F55E55">
        <w:rPr>
          <w:rFonts w:ascii="Times New Roman" w:hAnsi="Times New Roman" w:cs="Times New Roman"/>
        </w:rPr>
        <w:t>v</w:t>
      </w:r>
      <w:r w:rsidR="00F55E55" w:rsidRPr="00667086">
        <w:rPr>
          <w:rFonts w:ascii="Times New Roman" w:hAnsi="Times New Roman" w:cs="Times New Roman"/>
        </w:rPr>
        <w:t xml:space="preserve">ertical and </w:t>
      </w:r>
      <w:r w:rsidR="00F55E55">
        <w:rPr>
          <w:rFonts w:ascii="Times New Roman" w:hAnsi="Times New Roman" w:cs="Times New Roman"/>
        </w:rPr>
        <w:t>h</w:t>
      </w:r>
      <w:r w:rsidR="00F55E55" w:rsidRPr="00667086">
        <w:rPr>
          <w:rFonts w:ascii="Times New Roman" w:hAnsi="Times New Roman" w:cs="Times New Roman"/>
        </w:rPr>
        <w:t xml:space="preserve">orizontal </w:t>
      </w:r>
      <w:r w:rsidR="00F55E55">
        <w:rPr>
          <w:rFonts w:ascii="Times New Roman" w:hAnsi="Times New Roman" w:cs="Times New Roman"/>
        </w:rPr>
        <w:t>h</w:t>
      </w:r>
      <w:r w:rsidR="00F55E55" w:rsidRPr="00667086">
        <w:rPr>
          <w:rFonts w:ascii="Times New Roman" w:hAnsi="Times New Roman" w:cs="Times New Roman"/>
        </w:rPr>
        <w:t xml:space="preserve">ypothetical </w:t>
      </w:r>
      <w:r w:rsidR="00F55E55">
        <w:rPr>
          <w:rFonts w:ascii="Times New Roman" w:hAnsi="Times New Roman" w:cs="Times New Roman"/>
        </w:rPr>
        <w:t>w</w:t>
      </w:r>
      <w:r w:rsidR="00F55E55" w:rsidRPr="00667086">
        <w:rPr>
          <w:rFonts w:ascii="Times New Roman" w:hAnsi="Times New Roman" w:cs="Times New Roman"/>
        </w:rPr>
        <w:t xml:space="preserve">ells </w:t>
      </w:r>
      <w:r w:rsidR="00F55E55">
        <w:rPr>
          <w:rFonts w:ascii="Times New Roman" w:hAnsi="Times New Roman" w:cs="Times New Roman"/>
        </w:rPr>
        <w:t>in R2 formation</w:t>
      </w:r>
    </w:p>
    <w:tbl>
      <w:tblPr>
        <w:tblStyle w:val="TableGrid"/>
        <w:tblpPr w:leftFromText="180" w:rightFromText="180" w:vertAnchor="text" w:tblpX="-612" w:tblpY="1"/>
        <w:tblOverlap w:val="never"/>
        <w:tblW w:w="10188" w:type="dxa"/>
        <w:tblLayout w:type="fixed"/>
        <w:tblLook w:val="04A0" w:firstRow="1" w:lastRow="0" w:firstColumn="1" w:lastColumn="0" w:noHBand="0" w:noVBand="1"/>
      </w:tblPr>
      <w:tblGrid>
        <w:gridCol w:w="1455"/>
        <w:gridCol w:w="1527"/>
        <w:gridCol w:w="816"/>
        <w:gridCol w:w="990"/>
        <w:gridCol w:w="810"/>
        <w:gridCol w:w="900"/>
        <w:gridCol w:w="693"/>
        <w:gridCol w:w="810"/>
        <w:gridCol w:w="657"/>
        <w:gridCol w:w="873"/>
        <w:gridCol w:w="657"/>
      </w:tblGrid>
      <w:tr w:rsidR="000E1966" w:rsidRPr="00D50E2F" w:rsidTr="000E1966">
        <w:tc>
          <w:tcPr>
            <w:tcW w:w="1455" w:type="dxa"/>
            <w:vMerge w:val="restart"/>
          </w:tcPr>
          <w:p w:rsidR="000E1966" w:rsidRPr="00A06C6C" w:rsidRDefault="000E1966" w:rsidP="008B51B7">
            <w:pPr>
              <w:pStyle w:val="BodyText"/>
              <w:jc w:val="center"/>
              <w:rPr>
                <w:sz w:val="22"/>
                <w:szCs w:val="22"/>
              </w:rPr>
            </w:pPr>
            <w:r w:rsidRPr="00A06C6C">
              <w:rPr>
                <w:sz w:val="22"/>
                <w:szCs w:val="22"/>
              </w:rPr>
              <w:t>Formation Type</w:t>
            </w:r>
          </w:p>
        </w:tc>
        <w:tc>
          <w:tcPr>
            <w:tcW w:w="1527" w:type="dxa"/>
            <w:vMerge w:val="restart"/>
          </w:tcPr>
          <w:p w:rsidR="000E1966" w:rsidRDefault="000E1966" w:rsidP="000E1966">
            <w:pPr>
              <w:pStyle w:val="BodyText"/>
              <w:jc w:val="center"/>
              <w:rPr>
                <w:sz w:val="22"/>
                <w:szCs w:val="22"/>
              </w:rPr>
            </w:pPr>
            <w:r w:rsidRPr="00A06C6C">
              <w:rPr>
                <w:sz w:val="22"/>
                <w:szCs w:val="22"/>
              </w:rPr>
              <w:t>Well</w:t>
            </w:r>
          </w:p>
          <w:p w:rsidR="000E1966" w:rsidRPr="00A06C6C" w:rsidRDefault="000E1966" w:rsidP="000E1966">
            <w:pPr>
              <w:pStyle w:val="BodyText"/>
              <w:jc w:val="center"/>
              <w:rPr>
                <w:sz w:val="22"/>
                <w:szCs w:val="22"/>
              </w:rPr>
            </w:pPr>
            <w:r w:rsidRPr="00A06C6C">
              <w:rPr>
                <w:sz w:val="22"/>
                <w:szCs w:val="22"/>
              </w:rPr>
              <w:t>Type</w:t>
            </w:r>
          </w:p>
        </w:tc>
        <w:tc>
          <w:tcPr>
            <w:tcW w:w="816" w:type="dxa"/>
            <w:vMerge w:val="restart"/>
          </w:tcPr>
          <w:p w:rsidR="000E1966" w:rsidRPr="00A06C6C" w:rsidRDefault="000E1966" w:rsidP="000E1966">
            <w:pPr>
              <w:spacing w:after="0"/>
              <w:ind w:left="-108" w:right="-108"/>
              <w:jc w:val="center"/>
              <w:rPr>
                <w:color w:val="000000" w:themeColor="text1"/>
              </w:rPr>
            </w:pPr>
            <w:r w:rsidRPr="00A06C6C">
              <w:rPr>
                <w:rFonts w:ascii="Times New Roman" w:eastAsia="Times New Roman" w:hAnsi="Times New Roman" w:cs="Traditional Arabic"/>
              </w:rPr>
              <w:t>UCS,</w:t>
            </w:r>
            <w:r w:rsidRPr="00A06C6C">
              <w:rPr>
                <w:color w:val="000000" w:themeColor="text1"/>
              </w:rPr>
              <w:t xml:space="preserve"> </w:t>
            </w:r>
            <w:r w:rsidRPr="00A06C6C">
              <w:rPr>
                <w:rFonts w:ascii="Times New Roman" w:eastAsia="Times New Roman" w:hAnsi="Times New Roman" w:cs="Traditional Arabic"/>
              </w:rPr>
              <w:t>MPa</w:t>
            </w:r>
          </w:p>
        </w:tc>
        <w:tc>
          <w:tcPr>
            <w:tcW w:w="990" w:type="dxa"/>
            <w:vMerge w:val="restart"/>
          </w:tcPr>
          <w:p w:rsidR="000E1966" w:rsidRPr="00A06C6C" w:rsidRDefault="000E1966" w:rsidP="000E1966">
            <w:pPr>
              <w:pStyle w:val="BodyText"/>
              <w:ind w:left="-108" w:right="-108"/>
              <w:jc w:val="center"/>
              <w:rPr>
                <w:sz w:val="22"/>
                <w:szCs w:val="22"/>
              </w:rPr>
            </w:pPr>
            <w:r w:rsidRPr="00A06C6C">
              <w:rPr>
                <w:sz w:val="22"/>
                <w:szCs w:val="22"/>
              </w:rPr>
              <w:t>Poisson’s Ratio</w:t>
            </w:r>
          </w:p>
        </w:tc>
        <w:tc>
          <w:tcPr>
            <w:tcW w:w="810" w:type="dxa"/>
            <w:vMerge w:val="restart"/>
          </w:tcPr>
          <w:p w:rsidR="00B85C16" w:rsidRDefault="000E1966" w:rsidP="00B85C16">
            <w:pPr>
              <w:pStyle w:val="BodyText"/>
              <w:ind w:left="-108" w:right="-108"/>
              <w:jc w:val="center"/>
              <w:rPr>
                <w:sz w:val="22"/>
                <w:szCs w:val="22"/>
              </w:rPr>
            </w:pPr>
            <w:r w:rsidRPr="00A06C6C">
              <w:rPr>
                <w:sz w:val="22"/>
                <w:szCs w:val="22"/>
              </w:rPr>
              <w:t>Friction Angle</w:t>
            </w:r>
            <w:r w:rsidR="00B85C16">
              <w:rPr>
                <w:sz w:val="22"/>
                <w:szCs w:val="22"/>
              </w:rPr>
              <w:t>,</w:t>
            </w:r>
          </w:p>
          <w:p w:rsidR="000E1966" w:rsidRPr="00A06C6C" w:rsidRDefault="00B85C16" w:rsidP="00B85C16">
            <w:pPr>
              <w:pStyle w:val="BodyText"/>
              <w:ind w:left="-108" w:right="-108"/>
              <w:jc w:val="center"/>
              <w:rPr>
                <w:sz w:val="22"/>
                <w:szCs w:val="22"/>
              </w:rPr>
            </w:pPr>
            <w:r>
              <w:rPr>
                <w:sz w:val="22"/>
                <w:szCs w:val="22"/>
              </w:rPr>
              <w:t>Degree</w:t>
            </w:r>
          </w:p>
        </w:tc>
        <w:tc>
          <w:tcPr>
            <w:tcW w:w="4590" w:type="dxa"/>
            <w:gridSpan w:val="6"/>
            <w:vAlign w:val="center"/>
          </w:tcPr>
          <w:p w:rsidR="000E1966" w:rsidRPr="00A06C6C" w:rsidRDefault="000E1966" w:rsidP="000E1966">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Safe Drilling Window, MPa</w:t>
            </w:r>
          </w:p>
        </w:tc>
      </w:tr>
      <w:tr w:rsidR="000E1966" w:rsidRPr="00D50E2F" w:rsidTr="000E1966">
        <w:trPr>
          <w:trHeight w:val="149"/>
        </w:trPr>
        <w:tc>
          <w:tcPr>
            <w:tcW w:w="1455" w:type="dxa"/>
            <w:vMerge/>
            <w:vAlign w:val="center"/>
          </w:tcPr>
          <w:p w:rsidR="000E1966" w:rsidRPr="00D50E2F" w:rsidRDefault="000E1966" w:rsidP="000E1966">
            <w:pPr>
              <w:spacing w:after="0"/>
              <w:ind w:left="-90" w:right="-108"/>
              <w:jc w:val="center"/>
              <w:rPr>
                <w:color w:val="000000" w:themeColor="text1"/>
              </w:rPr>
            </w:pPr>
          </w:p>
        </w:tc>
        <w:tc>
          <w:tcPr>
            <w:tcW w:w="1527" w:type="dxa"/>
            <w:vMerge/>
            <w:vAlign w:val="center"/>
          </w:tcPr>
          <w:p w:rsidR="000E1966" w:rsidRPr="00D50E2F" w:rsidRDefault="000E1966" w:rsidP="000E1966">
            <w:pPr>
              <w:spacing w:after="0"/>
              <w:jc w:val="center"/>
              <w:rPr>
                <w:color w:val="000000" w:themeColor="text1"/>
              </w:rPr>
            </w:pPr>
          </w:p>
        </w:tc>
        <w:tc>
          <w:tcPr>
            <w:tcW w:w="816" w:type="dxa"/>
            <w:vMerge/>
            <w:vAlign w:val="center"/>
          </w:tcPr>
          <w:p w:rsidR="000E1966" w:rsidRPr="00D50E2F" w:rsidRDefault="000E1966" w:rsidP="000E1966">
            <w:pPr>
              <w:spacing w:after="0"/>
              <w:jc w:val="center"/>
              <w:rPr>
                <w:color w:val="000000" w:themeColor="text1"/>
              </w:rPr>
            </w:pPr>
          </w:p>
        </w:tc>
        <w:tc>
          <w:tcPr>
            <w:tcW w:w="990" w:type="dxa"/>
            <w:vMerge/>
            <w:vAlign w:val="center"/>
          </w:tcPr>
          <w:p w:rsidR="000E1966" w:rsidRPr="00D50E2F" w:rsidRDefault="000E1966" w:rsidP="000E1966">
            <w:pPr>
              <w:spacing w:after="0"/>
              <w:jc w:val="center"/>
              <w:rPr>
                <w:color w:val="000000" w:themeColor="text1"/>
              </w:rPr>
            </w:pPr>
          </w:p>
        </w:tc>
        <w:tc>
          <w:tcPr>
            <w:tcW w:w="810" w:type="dxa"/>
            <w:vMerge/>
            <w:vAlign w:val="center"/>
          </w:tcPr>
          <w:p w:rsidR="000E1966" w:rsidRPr="00D50E2F" w:rsidRDefault="000E1966" w:rsidP="000E1966">
            <w:pPr>
              <w:spacing w:after="0"/>
              <w:jc w:val="center"/>
              <w:rPr>
                <w:color w:val="000000" w:themeColor="text1"/>
              </w:rPr>
            </w:pPr>
          </w:p>
        </w:tc>
        <w:tc>
          <w:tcPr>
            <w:tcW w:w="1593" w:type="dxa"/>
            <w:gridSpan w:val="2"/>
            <w:vAlign w:val="center"/>
          </w:tcPr>
          <w:p w:rsidR="000E1966" w:rsidRPr="00A06C6C" w:rsidRDefault="000E1966" w:rsidP="000E1966">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OBD</w:t>
            </w:r>
          </w:p>
        </w:tc>
        <w:tc>
          <w:tcPr>
            <w:tcW w:w="1467" w:type="dxa"/>
            <w:gridSpan w:val="2"/>
            <w:vAlign w:val="center"/>
          </w:tcPr>
          <w:p w:rsidR="000E1966" w:rsidRPr="00A06C6C" w:rsidRDefault="000E1966" w:rsidP="000E1966">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MPD</w:t>
            </w:r>
          </w:p>
        </w:tc>
        <w:tc>
          <w:tcPr>
            <w:tcW w:w="1530" w:type="dxa"/>
            <w:gridSpan w:val="2"/>
            <w:vAlign w:val="center"/>
          </w:tcPr>
          <w:p w:rsidR="000E1966" w:rsidRPr="00A06C6C" w:rsidRDefault="000E1966" w:rsidP="000E1966">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UBD</w:t>
            </w:r>
          </w:p>
        </w:tc>
      </w:tr>
      <w:tr w:rsidR="00EC1AEA" w:rsidRPr="00D50E2F" w:rsidTr="00607D6D">
        <w:trPr>
          <w:trHeight w:val="116"/>
        </w:trPr>
        <w:tc>
          <w:tcPr>
            <w:tcW w:w="1455" w:type="dxa"/>
            <w:vMerge/>
            <w:vAlign w:val="center"/>
          </w:tcPr>
          <w:p w:rsidR="00EC1AEA" w:rsidRPr="00D50E2F" w:rsidRDefault="00EC1AEA" w:rsidP="00EC1AEA">
            <w:pPr>
              <w:spacing w:after="0"/>
              <w:ind w:left="-90" w:right="-108"/>
              <w:jc w:val="center"/>
              <w:rPr>
                <w:color w:val="000000" w:themeColor="text1"/>
              </w:rPr>
            </w:pPr>
          </w:p>
        </w:tc>
        <w:tc>
          <w:tcPr>
            <w:tcW w:w="1527" w:type="dxa"/>
            <w:vMerge/>
            <w:vAlign w:val="center"/>
          </w:tcPr>
          <w:p w:rsidR="00EC1AEA" w:rsidRPr="00D50E2F" w:rsidRDefault="00EC1AEA" w:rsidP="00EC1AEA">
            <w:pPr>
              <w:spacing w:after="0"/>
              <w:jc w:val="center"/>
              <w:rPr>
                <w:color w:val="000000" w:themeColor="text1"/>
              </w:rPr>
            </w:pPr>
          </w:p>
        </w:tc>
        <w:tc>
          <w:tcPr>
            <w:tcW w:w="816" w:type="dxa"/>
            <w:vMerge/>
            <w:vAlign w:val="center"/>
          </w:tcPr>
          <w:p w:rsidR="00EC1AEA" w:rsidRPr="00D50E2F" w:rsidRDefault="00EC1AEA" w:rsidP="00EC1AEA">
            <w:pPr>
              <w:spacing w:after="0"/>
              <w:jc w:val="center"/>
              <w:rPr>
                <w:color w:val="000000" w:themeColor="text1"/>
              </w:rPr>
            </w:pPr>
          </w:p>
        </w:tc>
        <w:tc>
          <w:tcPr>
            <w:tcW w:w="990" w:type="dxa"/>
            <w:vMerge/>
            <w:vAlign w:val="center"/>
          </w:tcPr>
          <w:p w:rsidR="00EC1AEA" w:rsidRPr="00D50E2F" w:rsidRDefault="00EC1AEA" w:rsidP="00EC1AEA">
            <w:pPr>
              <w:spacing w:after="0"/>
              <w:jc w:val="center"/>
              <w:rPr>
                <w:color w:val="000000" w:themeColor="text1"/>
              </w:rPr>
            </w:pPr>
          </w:p>
        </w:tc>
        <w:tc>
          <w:tcPr>
            <w:tcW w:w="810" w:type="dxa"/>
            <w:vMerge/>
            <w:vAlign w:val="center"/>
          </w:tcPr>
          <w:p w:rsidR="00EC1AEA" w:rsidRPr="00D50E2F" w:rsidRDefault="00EC1AEA" w:rsidP="00EC1AEA">
            <w:pPr>
              <w:spacing w:after="0"/>
              <w:jc w:val="center"/>
              <w:rPr>
                <w:color w:val="000000" w:themeColor="text1"/>
              </w:rPr>
            </w:pPr>
          </w:p>
        </w:tc>
        <w:tc>
          <w:tcPr>
            <w:tcW w:w="900" w:type="dxa"/>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sidR="00B85C16">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93" w:type="dxa"/>
            <w:shd w:val="clear" w:color="auto" w:fill="auto"/>
            <w:vAlign w:val="center"/>
          </w:tcPr>
          <w:p w:rsidR="00EC1AEA" w:rsidRPr="00A06C6C" w:rsidRDefault="00EC1AEA" w:rsidP="00EC1AE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c>
          <w:tcPr>
            <w:tcW w:w="810" w:type="dxa"/>
            <w:shd w:val="clear" w:color="auto" w:fill="auto"/>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sidR="00B85C16">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vAlign w:val="center"/>
          </w:tcPr>
          <w:p w:rsidR="00EC1AEA" w:rsidRPr="00A06C6C" w:rsidRDefault="00EC1AEA" w:rsidP="00EC1AE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c>
          <w:tcPr>
            <w:tcW w:w="873" w:type="dxa"/>
            <w:shd w:val="clear" w:color="auto" w:fill="auto"/>
          </w:tcPr>
          <w:p w:rsidR="00EC1AEA" w:rsidRDefault="00EC1AEA" w:rsidP="00EC1AE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sidR="00B85C16">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EC1AEA" w:rsidRPr="005D5EEC" w:rsidRDefault="00EC1AEA" w:rsidP="00EC1AE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vAlign w:val="center"/>
          </w:tcPr>
          <w:p w:rsidR="00EC1AEA" w:rsidRPr="00A06C6C" w:rsidRDefault="00EC1AEA" w:rsidP="00EC1AE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r>
      <w:tr w:rsidR="000E1966" w:rsidRPr="00D50E2F" w:rsidTr="000E1966">
        <w:tc>
          <w:tcPr>
            <w:tcW w:w="1455" w:type="dxa"/>
            <w:vMerge w:val="restart"/>
            <w:vAlign w:val="center"/>
          </w:tcPr>
          <w:p w:rsidR="000E1966" w:rsidRPr="00A06C6C" w:rsidRDefault="000E1966" w:rsidP="000E1966">
            <w:pPr>
              <w:spacing w:after="0"/>
              <w:ind w:left="-90" w:right="-108"/>
              <w:jc w:val="center"/>
              <w:rPr>
                <w:rFonts w:asciiTheme="majorBidi" w:hAnsiTheme="majorBidi" w:cstheme="majorBidi"/>
                <w:color w:val="000000" w:themeColor="text1"/>
              </w:rPr>
            </w:pPr>
            <w:r>
              <w:rPr>
                <w:rFonts w:asciiTheme="majorBidi" w:hAnsiTheme="majorBidi" w:cstheme="majorBidi"/>
              </w:rPr>
              <w:t xml:space="preserve">Weak </w:t>
            </w:r>
            <w:r w:rsidRPr="00A06C6C">
              <w:rPr>
                <w:rFonts w:asciiTheme="majorBidi" w:hAnsiTheme="majorBidi" w:cstheme="majorBidi"/>
                <w:color w:val="000000" w:themeColor="text1"/>
              </w:rPr>
              <w:t>(R</w:t>
            </w:r>
            <w:r>
              <w:rPr>
                <w:rFonts w:asciiTheme="majorBidi" w:hAnsiTheme="majorBidi" w:cstheme="majorBidi"/>
                <w:color w:val="000000" w:themeColor="text1"/>
              </w:rPr>
              <w:t>2</w:t>
            </w:r>
            <w:r w:rsidRPr="00A06C6C">
              <w:rPr>
                <w:rFonts w:asciiTheme="majorBidi" w:hAnsiTheme="majorBidi" w:cstheme="majorBidi"/>
                <w:color w:val="000000" w:themeColor="text1"/>
              </w:rPr>
              <w:t>)</w:t>
            </w:r>
          </w:p>
        </w:tc>
        <w:tc>
          <w:tcPr>
            <w:tcW w:w="1527" w:type="dxa"/>
            <w:vAlign w:val="center"/>
          </w:tcPr>
          <w:p w:rsidR="000E1966" w:rsidRPr="00A06C6C" w:rsidRDefault="000E1966" w:rsidP="000E1966">
            <w:pPr>
              <w:spacing w:after="0"/>
              <w:ind w:right="-108"/>
              <w:jc w:val="center"/>
              <w:rPr>
                <w:rFonts w:asciiTheme="majorBidi" w:hAnsiTheme="majorBidi" w:cstheme="majorBidi"/>
                <w:color w:val="000000" w:themeColor="text1"/>
              </w:rPr>
            </w:pPr>
            <w:r w:rsidRPr="00A06C6C">
              <w:rPr>
                <w:rFonts w:asciiTheme="majorBidi" w:hAnsiTheme="majorBidi" w:cstheme="majorBidi"/>
                <w:color w:val="000000" w:themeColor="text1"/>
              </w:rPr>
              <w:t>Vertical</w:t>
            </w:r>
          </w:p>
        </w:tc>
        <w:tc>
          <w:tcPr>
            <w:tcW w:w="816"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20.6</w:t>
            </w:r>
          </w:p>
        </w:tc>
        <w:tc>
          <w:tcPr>
            <w:tcW w:w="99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0.23</w:t>
            </w:r>
          </w:p>
        </w:tc>
        <w:tc>
          <w:tcPr>
            <w:tcW w:w="81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26</w:t>
            </w:r>
          </w:p>
        </w:tc>
        <w:tc>
          <w:tcPr>
            <w:tcW w:w="900" w:type="dxa"/>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+8.1</w:t>
            </w:r>
          </w:p>
        </w:tc>
        <w:tc>
          <w:tcPr>
            <w:tcW w:w="693"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59.1</w:t>
            </w:r>
          </w:p>
        </w:tc>
        <w:tc>
          <w:tcPr>
            <w:tcW w:w="810"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0</w:t>
            </w:r>
          </w:p>
        </w:tc>
        <w:tc>
          <w:tcPr>
            <w:tcW w:w="657"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51</w:t>
            </w:r>
          </w:p>
        </w:tc>
        <w:tc>
          <w:tcPr>
            <w:tcW w:w="873" w:type="dxa"/>
            <w:shd w:val="clear" w:color="auto" w:fill="auto"/>
            <w:vAlign w:val="center"/>
          </w:tcPr>
          <w:p w:rsidR="000E1966" w:rsidRPr="004A1142" w:rsidRDefault="00B833DA"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w:t>
            </w:r>
            <w:r w:rsidR="000E1966" w:rsidRPr="004A1142">
              <w:rPr>
                <w:rFonts w:asciiTheme="majorBidi" w:hAnsiTheme="majorBidi" w:cstheme="majorBidi"/>
                <w:color w:val="000000" w:themeColor="text1"/>
              </w:rPr>
              <w:t>29.2</w:t>
            </w:r>
          </w:p>
        </w:tc>
        <w:tc>
          <w:tcPr>
            <w:tcW w:w="657"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21.8</w:t>
            </w:r>
          </w:p>
        </w:tc>
      </w:tr>
      <w:tr w:rsidR="000E1966" w:rsidRPr="00D50E2F" w:rsidTr="000E1966">
        <w:trPr>
          <w:trHeight w:val="77"/>
        </w:trPr>
        <w:tc>
          <w:tcPr>
            <w:tcW w:w="1455" w:type="dxa"/>
            <w:vMerge/>
            <w:vAlign w:val="center"/>
          </w:tcPr>
          <w:p w:rsidR="000E1966" w:rsidRPr="00A06C6C" w:rsidRDefault="000E1966" w:rsidP="000E1966">
            <w:pPr>
              <w:spacing w:after="0"/>
              <w:ind w:left="-90" w:right="-108"/>
              <w:jc w:val="center"/>
              <w:rPr>
                <w:rFonts w:asciiTheme="majorBidi" w:hAnsiTheme="majorBidi" w:cstheme="majorBidi"/>
                <w:color w:val="000000" w:themeColor="text1"/>
              </w:rPr>
            </w:pPr>
          </w:p>
        </w:tc>
        <w:tc>
          <w:tcPr>
            <w:tcW w:w="1527" w:type="dxa"/>
            <w:vAlign w:val="center"/>
          </w:tcPr>
          <w:p w:rsidR="000E1966" w:rsidRPr="00A06C6C" w:rsidRDefault="000E1966" w:rsidP="000E1966">
            <w:pPr>
              <w:spacing w:after="0"/>
              <w:ind w:right="-108"/>
              <w:jc w:val="center"/>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20.6</w:t>
            </w:r>
          </w:p>
        </w:tc>
        <w:tc>
          <w:tcPr>
            <w:tcW w:w="99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0.23</w:t>
            </w:r>
          </w:p>
        </w:tc>
        <w:tc>
          <w:tcPr>
            <w:tcW w:w="81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26</w:t>
            </w:r>
          </w:p>
        </w:tc>
        <w:tc>
          <w:tcPr>
            <w:tcW w:w="900" w:type="dxa"/>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+8.1</w:t>
            </w:r>
          </w:p>
        </w:tc>
        <w:tc>
          <w:tcPr>
            <w:tcW w:w="693"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59.1</w:t>
            </w:r>
          </w:p>
        </w:tc>
        <w:tc>
          <w:tcPr>
            <w:tcW w:w="810" w:type="dxa"/>
            <w:shd w:val="clear" w:color="auto" w:fill="auto"/>
            <w:vAlign w:val="center"/>
          </w:tcPr>
          <w:p w:rsidR="000E1966" w:rsidRPr="00A06C6C"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0</w:t>
            </w:r>
          </w:p>
        </w:tc>
        <w:tc>
          <w:tcPr>
            <w:tcW w:w="657"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51</w:t>
            </w:r>
          </w:p>
        </w:tc>
        <w:tc>
          <w:tcPr>
            <w:tcW w:w="873" w:type="dxa"/>
            <w:shd w:val="clear" w:color="auto" w:fill="auto"/>
            <w:vAlign w:val="center"/>
          </w:tcPr>
          <w:p w:rsidR="000E1966" w:rsidRPr="00A06C6C"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-27.5</w:t>
            </w:r>
          </w:p>
        </w:tc>
        <w:tc>
          <w:tcPr>
            <w:tcW w:w="657" w:type="dxa"/>
            <w:shd w:val="clear" w:color="auto" w:fill="auto"/>
            <w:vAlign w:val="center"/>
          </w:tcPr>
          <w:p w:rsidR="000E1966" w:rsidRPr="00A06C6C"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23.5</w:t>
            </w:r>
          </w:p>
        </w:tc>
      </w:tr>
      <w:tr w:rsidR="000E1966" w:rsidRPr="00D50E2F" w:rsidTr="000E1966">
        <w:trPr>
          <w:trHeight w:val="77"/>
        </w:trPr>
        <w:tc>
          <w:tcPr>
            <w:tcW w:w="1455" w:type="dxa"/>
            <w:vMerge/>
            <w:vAlign w:val="center"/>
          </w:tcPr>
          <w:p w:rsidR="000E1966" w:rsidRPr="00A06C6C" w:rsidRDefault="000E1966" w:rsidP="000E1966">
            <w:pPr>
              <w:spacing w:after="0"/>
              <w:ind w:left="-90" w:right="-108"/>
              <w:jc w:val="center"/>
              <w:rPr>
                <w:rFonts w:asciiTheme="majorBidi" w:hAnsiTheme="majorBidi" w:cstheme="majorBidi"/>
                <w:color w:val="000000" w:themeColor="text1"/>
              </w:rPr>
            </w:pPr>
          </w:p>
        </w:tc>
        <w:tc>
          <w:tcPr>
            <w:tcW w:w="1527" w:type="dxa"/>
            <w:vAlign w:val="center"/>
          </w:tcPr>
          <w:p w:rsidR="000E1966" w:rsidRPr="00A06C6C" w:rsidRDefault="000E1966" w:rsidP="000E1966">
            <w:pPr>
              <w:spacing w:after="0"/>
              <w:ind w:right="-108"/>
              <w:jc w:val="center"/>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20.6</w:t>
            </w:r>
          </w:p>
        </w:tc>
        <w:tc>
          <w:tcPr>
            <w:tcW w:w="99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0.23</w:t>
            </w:r>
          </w:p>
        </w:tc>
        <w:tc>
          <w:tcPr>
            <w:tcW w:w="810" w:type="dxa"/>
            <w:vAlign w:val="center"/>
          </w:tcPr>
          <w:p w:rsidR="000E1966" w:rsidRPr="00A06C6C" w:rsidRDefault="000E1966" w:rsidP="004A1142">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26</w:t>
            </w:r>
          </w:p>
        </w:tc>
        <w:tc>
          <w:tcPr>
            <w:tcW w:w="900" w:type="dxa"/>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+8.1</w:t>
            </w:r>
          </w:p>
        </w:tc>
        <w:tc>
          <w:tcPr>
            <w:tcW w:w="693"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59.1</w:t>
            </w:r>
          </w:p>
        </w:tc>
        <w:tc>
          <w:tcPr>
            <w:tcW w:w="810" w:type="dxa"/>
            <w:shd w:val="clear" w:color="auto" w:fill="auto"/>
            <w:vAlign w:val="center"/>
          </w:tcPr>
          <w:p w:rsidR="000E1966" w:rsidRPr="00A06C6C"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0</w:t>
            </w:r>
          </w:p>
        </w:tc>
        <w:tc>
          <w:tcPr>
            <w:tcW w:w="657"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sidRPr="004A1142">
              <w:rPr>
                <w:rFonts w:asciiTheme="majorBidi" w:hAnsiTheme="majorBidi" w:cstheme="majorBidi"/>
                <w:color w:val="000000" w:themeColor="text1"/>
              </w:rPr>
              <w:t>51</w:t>
            </w:r>
          </w:p>
        </w:tc>
        <w:tc>
          <w:tcPr>
            <w:tcW w:w="873" w:type="dxa"/>
            <w:shd w:val="clear" w:color="auto" w:fill="auto"/>
            <w:vAlign w:val="center"/>
          </w:tcPr>
          <w:p w:rsidR="000E1966" w:rsidRPr="004A1142"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-16.6</w:t>
            </w:r>
          </w:p>
        </w:tc>
        <w:tc>
          <w:tcPr>
            <w:tcW w:w="657" w:type="dxa"/>
            <w:shd w:val="clear" w:color="auto" w:fill="auto"/>
            <w:vAlign w:val="center"/>
          </w:tcPr>
          <w:p w:rsidR="000E1966" w:rsidRPr="00A06C6C" w:rsidRDefault="000E1966" w:rsidP="004A1142">
            <w:pPr>
              <w:spacing w:after="0"/>
              <w:jc w:val="center"/>
              <w:rPr>
                <w:rFonts w:asciiTheme="majorBidi" w:hAnsiTheme="majorBidi" w:cstheme="majorBidi"/>
                <w:color w:val="000000" w:themeColor="text1"/>
              </w:rPr>
            </w:pPr>
            <w:r>
              <w:rPr>
                <w:rFonts w:asciiTheme="majorBidi" w:hAnsiTheme="majorBidi" w:cstheme="majorBidi"/>
                <w:color w:val="000000" w:themeColor="text1"/>
              </w:rPr>
              <w:t>34.4</w:t>
            </w:r>
          </w:p>
        </w:tc>
      </w:tr>
    </w:tbl>
    <w:p w:rsidR="00F55E55" w:rsidRPr="00667086" w:rsidRDefault="00EC7EB1" w:rsidP="00F55E55">
      <w:pPr>
        <w:spacing w:before="360" w:after="120" w:line="240" w:lineRule="exact"/>
        <w:ind w:left="-720" w:right="-576"/>
        <w:jc w:val="center"/>
        <w:rPr>
          <w:rFonts w:ascii="Times New Roman" w:hAnsi="Times New Roman" w:cs="Times New Roman"/>
        </w:rPr>
      </w:pPr>
      <w:r w:rsidRPr="00667086">
        <w:rPr>
          <w:rFonts w:ascii="Times New Roman" w:hAnsi="Times New Roman" w:cs="Times New Roman"/>
        </w:rPr>
        <w:t xml:space="preserve">Table 5 </w:t>
      </w:r>
      <w:r w:rsidR="00F55E55" w:rsidRPr="00667086">
        <w:rPr>
          <w:rFonts w:ascii="Times New Roman" w:hAnsi="Times New Roman" w:cs="Times New Roman"/>
        </w:rPr>
        <w:t xml:space="preserve">Summary of the </w:t>
      </w:r>
      <w:r w:rsidR="00F55E55">
        <w:rPr>
          <w:rFonts w:ascii="Times New Roman" w:hAnsi="Times New Roman" w:cs="Times New Roman"/>
        </w:rPr>
        <w:t>r</w:t>
      </w:r>
      <w:r w:rsidR="00F55E55" w:rsidRPr="00667086">
        <w:rPr>
          <w:rFonts w:ascii="Times New Roman" w:hAnsi="Times New Roman" w:cs="Times New Roman"/>
        </w:rPr>
        <w:t xml:space="preserve">esults of </w:t>
      </w:r>
      <w:r w:rsidR="00F55E55">
        <w:rPr>
          <w:rFonts w:ascii="Times New Roman" w:hAnsi="Times New Roman" w:cs="Times New Roman"/>
        </w:rPr>
        <w:t>drilling</w:t>
      </w:r>
      <w:r w:rsidR="00F55E55" w:rsidRPr="00667086">
        <w:rPr>
          <w:rFonts w:ascii="Times New Roman" w:hAnsi="Times New Roman" w:cs="Times New Roman"/>
        </w:rPr>
        <w:t xml:space="preserve"> </w:t>
      </w:r>
      <w:r w:rsidR="00F55E55">
        <w:rPr>
          <w:rFonts w:ascii="Times New Roman" w:hAnsi="Times New Roman" w:cs="Times New Roman"/>
        </w:rPr>
        <w:t>v</w:t>
      </w:r>
      <w:r w:rsidR="00F55E55" w:rsidRPr="00667086">
        <w:rPr>
          <w:rFonts w:ascii="Times New Roman" w:hAnsi="Times New Roman" w:cs="Times New Roman"/>
        </w:rPr>
        <w:t xml:space="preserve">ertical and </w:t>
      </w:r>
      <w:r w:rsidR="00F55E55">
        <w:rPr>
          <w:rFonts w:ascii="Times New Roman" w:hAnsi="Times New Roman" w:cs="Times New Roman"/>
        </w:rPr>
        <w:t>h</w:t>
      </w:r>
      <w:r w:rsidR="00F55E55" w:rsidRPr="00667086">
        <w:rPr>
          <w:rFonts w:ascii="Times New Roman" w:hAnsi="Times New Roman" w:cs="Times New Roman"/>
        </w:rPr>
        <w:t xml:space="preserve">orizontal </w:t>
      </w:r>
      <w:r w:rsidR="00F55E55">
        <w:rPr>
          <w:rFonts w:ascii="Times New Roman" w:hAnsi="Times New Roman" w:cs="Times New Roman"/>
        </w:rPr>
        <w:t>h</w:t>
      </w:r>
      <w:r w:rsidR="00F55E55" w:rsidRPr="00667086">
        <w:rPr>
          <w:rFonts w:ascii="Times New Roman" w:hAnsi="Times New Roman" w:cs="Times New Roman"/>
        </w:rPr>
        <w:t xml:space="preserve">ypothetical </w:t>
      </w:r>
      <w:r w:rsidR="00F55E55">
        <w:rPr>
          <w:rFonts w:ascii="Times New Roman" w:hAnsi="Times New Roman" w:cs="Times New Roman"/>
        </w:rPr>
        <w:t>w</w:t>
      </w:r>
      <w:r w:rsidR="00F55E55" w:rsidRPr="00667086">
        <w:rPr>
          <w:rFonts w:ascii="Times New Roman" w:hAnsi="Times New Roman" w:cs="Times New Roman"/>
        </w:rPr>
        <w:t xml:space="preserve">ells </w:t>
      </w:r>
      <w:r w:rsidR="00F55E55">
        <w:rPr>
          <w:rFonts w:ascii="Times New Roman" w:hAnsi="Times New Roman" w:cs="Times New Roman"/>
        </w:rPr>
        <w:t>in R3 formation</w:t>
      </w:r>
    </w:p>
    <w:tbl>
      <w:tblPr>
        <w:tblStyle w:val="TableGrid"/>
        <w:tblpPr w:leftFromText="180" w:rightFromText="180" w:vertAnchor="text" w:tblpX="-612" w:tblpY="1"/>
        <w:tblOverlap w:val="never"/>
        <w:tblW w:w="10188" w:type="dxa"/>
        <w:tblLayout w:type="fixed"/>
        <w:tblLook w:val="04A0" w:firstRow="1" w:lastRow="0" w:firstColumn="1" w:lastColumn="0" w:noHBand="0" w:noVBand="1"/>
      </w:tblPr>
      <w:tblGrid>
        <w:gridCol w:w="1455"/>
        <w:gridCol w:w="1527"/>
        <w:gridCol w:w="816"/>
        <w:gridCol w:w="990"/>
        <w:gridCol w:w="810"/>
        <w:gridCol w:w="900"/>
        <w:gridCol w:w="693"/>
        <w:gridCol w:w="810"/>
        <w:gridCol w:w="657"/>
        <w:gridCol w:w="873"/>
        <w:gridCol w:w="657"/>
      </w:tblGrid>
      <w:tr w:rsidR="00F55E55" w:rsidRPr="00D50E2F" w:rsidTr="0056665A">
        <w:tc>
          <w:tcPr>
            <w:tcW w:w="1455" w:type="dxa"/>
            <w:vMerge w:val="restart"/>
          </w:tcPr>
          <w:p w:rsidR="00F55E55" w:rsidRPr="00A06C6C" w:rsidRDefault="00F55E55" w:rsidP="0056665A">
            <w:pPr>
              <w:pStyle w:val="BodyText"/>
              <w:jc w:val="center"/>
              <w:rPr>
                <w:sz w:val="22"/>
                <w:szCs w:val="22"/>
              </w:rPr>
            </w:pPr>
            <w:r w:rsidRPr="00A06C6C">
              <w:rPr>
                <w:sz w:val="22"/>
                <w:szCs w:val="22"/>
              </w:rPr>
              <w:t>Formation Type</w:t>
            </w:r>
          </w:p>
        </w:tc>
        <w:tc>
          <w:tcPr>
            <w:tcW w:w="1527" w:type="dxa"/>
            <w:vMerge w:val="restart"/>
          </w:tcPr>
          <w:p w:rsidR="00F55E55" w:rsidRDefault="00F55E55" w:rsidP="0056665A">
            <w:pPr>
              <w:pStyle w:val="BodyText"/>
              <w:jc w:val="center"/>
              <w:rPr>
                <w:sz w:val="22"/>
                <w:szCs w:val="22"/>
              </w:rPr>
            </w:pPr>
            <w:r w:rsidRPr="00A06C6C">
              <w:rPr>
                <w:sz w:val="22"/>
                <w:szCs w:val="22"/>
              </w:rPr>
              <w:t xml:space="preserve">Well </w:t>
            </w:r>
          </w:p>
          <w:p w:rsidR="00F55E55" w:rsidRPr="00A06C6C" w:rsidRDefault="00F55E55" w:rsidP="0056665A">
            <w:pPr>
              <w:pStyle w:val="BodyText"/>
              <w:jc w:val="center"/>
              <w:rPr>
                <w:sz w:val="22"/>
                <w:szCs w:val="22"/>
              </w:rPr>
            </w:pPr>
            <w:r w:rsidRPr="00A06C6C">
              <w:rPr>
                <w:sz w:val="22"/>
                <w:szCs w:val="22"/>
              </w:rPr>
              <w:t>Type</w:t>
            </w:r>
          </w:p>
        </w:tc>
        <w:tc>
          <w:tcPr>
            <w:tcW w:w="816" w:type="dxa"/>
            <w:vMerge w:val="restart"/>
          </w:tcPr>
          <w:p w:rsidR="00F55E55" w:rsidRPr="00A06C6C" w:rsidRDefault="00F55E55" w:rsidP="0056665A">
            <w:pPr>
              <w:spacing w:after="0"/>
              <w:ind w:left="-108" w:right="-108"/>
              <w:jc w:val="center"/>
              <w:rPr>
                <w:color w:val="000000" w:themeColor="text1"/>
              </w:rPr>
            </w:pPr>
            <w:r w:rsidRPr="00A06C6C">
              <w:rPr>
                <w:rFonts w:ascii="Times New Roman" w:eastAsia="Times New Roman" w:hAnsi="Times New Roman" w:cs="Traditional Arabic"/>
              </w:rPr>
              <w:t>UCS,</w:t>
            </w:r>
            <w:r w:rsidRPr="00A06C6C">
              <w:rPr>
                <w:color w:val="000000" w:themeColor="text1"/>
              </w:rPr>
              <w:t xml:space="preserve"> </w:t>
            </w:r>
            <w:r w:rsidRPr="00A06C6C">
              <w:rPr>
                <w:rFonts w:ascii="Times New Roman" w:eastAsia="Times New Roman" w:hAnsi="Times New Roman" w:cs="Traditional Arabic"/>
              </w:rPr>
              <w:t>MPa</w:t>
            </w:r>
          </w:p>
        </w:tc>
        <w:tc>
          <w:tcPr>
            <w:tcW w:w="990" w:type="dxa"/>
            <w:vMerge w:val="restart"/>
          </w:tcPr>
          <w:p w:rsidR="00F55E55" w:rsidRPr="00A06C6C" w:rsidRDefault="00F55E55" w:rsidP="0056665A">
            <w:pPr>
              <w:pStyle w:val="BodyText"/>
              <w:ind w:left="-108" w:right="-108"/>
              <w:jc w:val="center"/>
              <w:rPr>
                <w:sz w:val="22"/>
                <w:szCs w:val="22"/>
              </w:rPr>
            </w:pPr>
            <w:r w:rsidRPr="00A06C6C">
              <w:rPr>
                <w:sz w:val="22"/>
                <w:szCs w:val="22"/>
              </w:rPr>
              <w:t>Poisson’s Ratio</w:t>
            </w:r>
          </w:p>
        </w:tc>
        <w:tc>
          <w:tcPr>
            <w:tcW w:w="810" w:type="dxa"/>
            <w:vMerge w:val="restart"/>
          </w:tcPr>
          <w:p w:rsidR="00F55E55" w:rsidRDefault="00F55E55" w:rsidP="0056665A">
            <w:pPr>
              <w:pStyle w:val="BodyText"/>
              <w:ind w:left="-108" w:right="-108"/>
              <w:jc w:val="center"/>
              <w:rPr>
                <w:sz w:val="22"/>
                <w:szCs w:val="22"/>
              </w:rPr>
            </w:pPr>
            <w:r w:rsidRPr="00A06C6C">
              <w:rPr>
                <w:sz w:val="22"/>
                <w:szCs w:val="22"/>
              </w:rPr>
              <w:t>Friction Angle</w:t>
            </w:r>
            <w:r>
              <w:rPr>
                <w:sz w:val="22"/>
                <w:szCs w:val="22"/>
              </w:rPr>
              <w:t>,</w:t>
            </w:r>
          </w:p>
          <w:p w:rsidR="00F55E55" w:rsidRPr="00A06C6C" w:rsidRDefault="00F55E55" w:rsidP="0056665A">
            <w:pPr>
              <w:pStyle w:val="BodyText"/>
              <w:ind w:left="-108" w:right="-108"/>
              <w:jc w:val="center"/>
              <w:rPr>
                <w:sz w:val="22"/>
                <w:szCs w:val="22"/>
              </w:rPr>
            </w:pPr>
            <w:r>
              <w:rPr>
                <w:sz w:val="22"/>
                <w:szCs w:val="22"/>
              </w:rPr>
              <w:t>Degree</w:t>
            </w:r>
          </w:p>
        </w:tc>
        <w:tc>
          <w:tcPr>
            <w:tcW w:w="4590" w:type="dxa"/>
            <w:gridSpan w:val="6"/>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Safe Drilling Window, MPa</w:t>
            </w:r>
          </w:p>
        </w:tc>
      </w:tr>
      <w:tr w:rsidR="00F55E55" w:rsidRPr="00D50E2F" w:rsidTr="0056665A">
        <w:trPr>
          <w:trHeight w:val="149"/>
        </w:trPr>
        <w:tc>
          <w:tcPr>
            <w:tcW w:w="1455" w:type="dxa"/>
            <w:vMerge/>
          </w:tcPr>
          <w:p w:rsidR="00F55E55" w:rsidRPr="00D50E2F" w:rsidRDefault="00F55E55" w:rsidP="0056665A">
            <w:pPr>
              <w:spacing w:after="0"/>
              <w:ind w:left="-90" w:right="-108"/>
              <w:rPr>
                <w:color w:val="000000" w:themeColor="text1"/>
              </w:rPr>
            </w:pPr>
          </w:p>
        </w:tc>
        <w:tc>
          <w:tcPr>
            <w:tcW w:w="1527" w:type="dxa"/>
            <w:vMerge/>
          </w:tcPr>
          <w:p w:rsidR="00F55E55" w:rsidRPr="00D50E2F" w:rsidRDefault="00F55E55" w:rsidP="0056665A">
            <w:pPr>
              <w:spacing w:after="0"/>
              <w:rPr>
                <w:color w:val="000000" w:themeColor="text1"/>
              </w:rPr>
            </w:pPr>
          </w:p>
        </w:tc>
        <w:tc>
          <w:tcPr>
            <w:tcW w:w="816" w:type="dxa"/>
            <w:vMerge/>
          </w:tcPr>
          <w:p w:rsidR="00F55E55" w:rsidRPr="00D50E2F" w:rsidRDefault="00F55E55" w:rsidP="0056665A">
            <w:pPr>
              <w:spacing w:after="0"/>
              <w:jc w:val="center"/>
              <w:rPr>
                <w:color w:val="000000" w:themeColor="text1"/>
              </w:rPr>
            </w:pPr>
          </w:p>
        </w:tc>
        <w:tc>
          <w:tcPr>
            <w:tcW w:w="990" w:type="dxa"/>
            <w:vMerge/>
          </w:tcPr>
          <w:p w:rsidR="00F55E55" w:rsidRPr="00D50E2F" w:rsidRDefault="00F55E55" w:rsidP="0056665A">
            <w:pPr>
              <w:spacing w:after="0"/>
              <w:jc w:val="center"/>
              <w:rPr>
                <w:color w:val="000000" w:themeColor="text1"/>
              </w:rPr>
            </w:pPr>
          </w:p>
        </w:tc>
        <w:tc>
          <w:tcPr>
            <w:tcW w:w="810" w:type="dxa"/>
            <w:vMerge/>
          </w:tcPr>
          <w:p w:rsidR="00F55E55" w:rsidRPr="00D50E2F" w:rsidRDefault="00F55E55" w:rsidP="0056665A">
            <w:pPr>
              <w:spacing w:after="0"/>
              <w:jc w:val="center"/>
              <w:rPr>
                <w:color w:val="000000" w:themeColor="text1"/>
              </w:rPr>
            </w:pPr>
          </w:p>
        </w:tc>
        <w:tc>
          <w:tcPr>
            <w:tcW w:w="1593" w:type="dxa"/>
            <w:gridSpan w:val="2"/>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OBD</w:t>
            </w:r>
          </w:p>
        </w:tc>
        <w:tc>
          <w:tcPr>
            <w:tcW w:w="1467" w:type="dxa"/>
            <w:gridSpan w:val="2"/>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MPD</w:t>
            </w:r>
          </w:p>
        </w:tc>
        <w:tc>
          <w:tcPr>
            <w:tcW w:w="1530" w:type="dxa"/>
            <w:gridSpan w:val="2"/>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UBD</w:t>
            </w:r>
          </w:p>
        </w:tc>
      </w:tr>
      <w:tr w:rsidR="00F55E55" w:rsidRPr="00D50E2F" w:rsidTr="0056665A">
        <w:trPr>
          <w:trHeight w:val="116"/>
        </w:trPr>
        <w:tc>
          <w:tcPr>
            <w:tcW w:w="1455" w:type="dxa"/>
            <w:vMerge/>
          </w:tcPr>
          <w:p w:rsidR="00F55E55" w:rsidRPr="00D50E2F" w:rsidRDefault="00F55E55" w:rsidP="0056665A">
            <w:pPr>
              <w:spacing w:after="0"/>
              <w:ind w:left="-90" w:right="-108"/>
              <w:rPr>
                <w:color w:val="000000" w:themeColor="text1"/>
              </w:rPr>
            </w:pPr>
          </w:p>
        </w:tc>
        <w:tc>
          <w:tcPr>
            <w:tcW w:w="1527" w:type="dxa"/>
            <w:vMerge/>
          </w:tcPr>
          <w:p w:rsidR="00F55E55" w:rsidRPr="00D50E2F" w:rsidRDefault="00F55E55" w:rsidP="0056665A">
            <w:pPr>
              <w:spacing w:after="0"/>
              <w:rPr>
                <w:color w:val="000000" w:themeColor="text1"/>
              </w:rPr>
            </w:pPr>
          </w:p>
        </w:tc>
        <w:tc>
          <w:tcPr>
            <w:tcW w:w="816" w:type="dxa"/>
            <w:vMerge/>
          </w:tcPr>
          <w:p w:rsidR="00F55E55" w:rsidRPr="00D50E2F" w:rsidRDefault="00F55E55" w:rsidP="0056665A">
            <w:pPr>
              <w:spacing w:after="0"/>
              <w:jc w:val="center"/>
              <w:rPr>
                <w:color w:val="000000" w:themeColor="text1"/>
              </w:rPr>
            </w:pPr>
          </w:p>
        </w:tc>
        <w:tc>
          <w:tcPr>
            <w:tcW w:w="990" w:type="dxa"/>
            <w:vMerge/>
          </w:tcPr>
          <w:p w:rsidR="00F55E55" w:rsidRPr="00D50E2F" w:rsidRDefault="00F55E55" w:rsidP="0056665A">
            <w:pPr>
              <w:spacing w:after="0"/>
              <w:jc w:val="center"/>
              <w:rPr>
                <w:color w:val="000000" w:themeColor="text1"/>
              </w:rPr>
            </w:pPr>
          </w:p>
        </w:tc>
        <w:tc>
          <w:tcPr>
            <w:tcW w:w="810" w:type="dxa"/>
            <w:vMerge/>
          </w:tcPr>
          <w:p w:rsidR="00F55E55" w:rsidRPr="00D50E2F" w:rsidRDefault="00F55E55" w:rsidP="0056665A">
            <w:pPr>
              <w:spacing w:after="0"/>
              <w:jc w:val="center"/>
              <w:rPr>
                <w:color w:val="000000" w:themeColor="text1"/>
              </w:rPr>
            </w:pPr>
          </w:p>
        </w:tc>
        <w:tc>
          <w:tcPr>
            <w:tcW w:w="900" w:type="dxa"/>
          </w:tcPr>
          <w:p w:rsidR="00F55E55" w:rsidRDefault="00F55E55" w:rsidP="0056665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6665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93" w:type="dxa"/>
            <w:shd w:val="clear" w:color="auto" w:fill="auto"/>
          </w:tcPr>
          <w:p w:rsidR="00F55E55" w:rsidRPr="00867852" w:rsidRDefault="00F55E55" w:rsidP="0056665A">
            <w:pPr>
              <w:spacing w:after="0"/>
              <w:jc w:val="center"/>
              <w:rPr>
                <w:rFonts w:asciiTheme="majorBidi" w:hAnsiTheme="majorBidi" w:cstheme="majorBidi"/>
                <w:color w:val="000000" w:themeColor="text1"/>
              </w:rPr>
            </w:pPr>
            <w:r w:rsidRPr="00867852">
              <w:rPr>
                <w:rFonts w:asciiTheme="majorBidi" w:hAnsiTheme="majorBidi" w:cstheme="majorBidi"/>
                <w:color w:val="000000" w:themeColor="text1"/>
              </w:rPr>
              <w:t>P</w:t>
            </w:r>
            <w:r w:rsidRPr="00867852">
              <w:rPr>
                <w:rFonts w:asciiTheme="majorBidi" w:hAnsiTheme="majorBidi" w:cstheme="majorBidi"/>
                <w:color w:val="000000" w:themeColor="text1"/>
                <w:sz w:val="28"/>
                <w:szCs w:val="28"/>
                <w:vertAlign w:val="subscript"/>
              </w:rPr>
              <w:t>w</w:t>
            </w:r>
          </w:p>
        </w:tc>
        <w:tc>
          <w:tcPr>
            <w:tcW w:w="810" w:type="dxa"/>
            <w:shd w:val="clear" w:color="auto" w:fill="auto"/>
          </w:tcPr>
          <w:p w:rsidR="00F55E55" w:rsidRDefault="00F55E55" w:rsidP="0056665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6665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c>
          <w:tcPr>
            <w:tcW w:w="873" w:type="dxa"/>
            <w:shd w:val="clear" w:color="auto" w:fill="auto"/>
          </w:tcPr>
          <w:p w:rsidR="00F55E55" w:rsidRDefault="00F55E55" w:rsidP="0056665A">
            <w:pPr>
              <w:spacing w:after="0"/>
              <w:ind w:left="-135" w:right="-81"/>
              <w:jc w:val="center"/>
              <w:rPr>
                <w:rFonts w:asciiTheme="majorBidi" w:hAnsiTheme="majorBidi" w:cstheme="majorBidi"/>
                <w:color w:val="000000" w:themeColor="text1"/>
              </w:rPr>
            </w:pPr>
            <w:proofErr w:type="spellStart"/>
            <w:r>
              <w:rPr>
                <w:rFonts w:asciiTheme="majorBidi" w:hAnsiTheme="majorBidi" w:cstheme="majorBidi"/>
                <w:color w:val="000000" w:themeColor="text1"/>
              </w:rPr>
              <w:t>P</w:t>
            </w:r>
            <w:r w:rsidRPr="00EC1AEA">
              <w:rPr>
                <w:rFonts w:asciiTheme="majorBidi" w:hAnsiTheme="majorBidi" w:cstheme="majorBidi"/>
                <w:color w:val="000000" w:themeColor="text1"/>
                <w:vertAlign w:val="subscript"/>
              </w:rPr>
              <w:t>wc</w:t>
            </w:r>
            <w:proofErr w:type="spellEnd"/>
            <w:r>
              <w:rPr>
                <w:rFonts w:asciiTheme="majorBidi" w:hAnsiTheme="majorBidi" w:cstheme="majorBidi"/>
                <w:color w:val="000000" w:themeColor="text1"/>
                <w:vertAlign w:val="subscript"/>
              </w:rPr>
              <w:t xml:space="preserve"> </w:t>
            </w:r>
            <w:r>
              <w:rPr>
                <w:rFonts w:asciiTheme="majorBidi" w:hAnsiTheme="majorBidi" w:cstheme="majorBidi"/>
                <w:color w:val="000000" w:themeColor="text1"/>
              </w:rPr>
              <w:t>=</w:t>
            </w:r>
          </w:p>
          <w:p w:rsidR="00F55E55" w:rsidRPr="005D5EEC" w:rsidRDefault="00F55E55" w:rsidP="0056665A">
            <w:pPr>
              <w:spacing w:after="0"/>
              <w:ind w:left="-135" w:right="-81"/>
              <w:jc w:val="center"/>
              <w:rPr>
                <w:rFonts w:asciiTheme="majorBidi" w:hAnsiTheme="majorBidi" w:cstheme="majorBidi"/>
                <w:color w:val="000000" w:themeColor="text1"/>
              </w:rPr>
            </w:pP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w</w:t>
            </w:r>
            <w:r w:rsidRPr="005D5EEC">
              <w:rPr>
                <w:rFonts w:asciiTheme="majorBidi" w:hAnsiTheme="majorBidi" w:cstheme="majorBidi"/>
                <w:color w:val="000000" w:themeColor="text1"/>
              </w:rPr>
              <w:t>-P</w:t>
            </w:r>
            <w:r w:rsidRPr="005D5EEC">
              <w:rPr>
                <w:rFonts w:asciiTheme="majorBidi" w:hAnsiTheme="majorBidi" w:cstheme="majorBidi"/>
                <w:color w:val="000000" w:themeColor="text1"/>
                <w:vertAlign w:val="subscript"/>
              </w:rPr>
              <w:t>p</w:t>
            </w:r>
            <w:r w:rsidRPr="005D5EEC">
              <w:rPr>
                <w:rFonts w:asciiTheme="majorBidi" w:hAnsiTheme="majorBidi" w:cstheme="majorBidi"/>
                <w:color w:val="000000" w:themeColor="text1"/>
              </w:rPr>
              <w:t>)</w:t>
            </w:r>
          </w:p>
        </w:tc>
        <w:tc>
          <w:tcPr>
            <w:tcW w:w="657" w:type="dxa"/>
            <w:shd w:val="clear" w:color="auto" w:fill="auto"/>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P</w:t>
            </w:r>
            <w:r w:rsidRPr="00A06C6C">
              <w:rPr>
                <w:rFonts w:asciiTheme="majorBidi" w:hAnsiTheme="majorBidi" w:cstheme="majorBidi"/>
                <w:color w:val="000000" w:themeColor="text1"/>
                <w:sz w:val="28"/>
                <w:szCs w:val="28"/>
                <w:vertAlign w:val="subscript"/>
              </w:rPr>
              <w:t>w</w:t>
            </w:r>
          </w:p>
        </w:tc>
      </w:tr>
      <w:tr w:rsidR="00F55E55" w:rsidRPr="00D50E2F" w:rsidTr="0056665A">
        <w:tc>
          <w:tcPr>
            <w:tcW w:w="1455" w:type="dxa"/>
            <w:vMerge w:val="restart"/>
            <w:vAlign w:val="center"/>
          </w:tcPr>
          <w:p w:rsidR="00F55E55" w:rsidRPr="00A06C6C" w:rsidRDefault="00F55E55" w:rsidP="0056665A">
            <w:pPr>
              <w:spacing w:after="0"/>
              <w:ind w:left="-90" w:right="-108"/>
              <w:jc w:val="center"/>
              <w:rPr>
                <w:rFonts w:asciiTheme="majorBidi" w:hAnsiTheme="majorBidi" w:cstheme="majorBidi"/>
                <w:color w:val="000000" w:themeColor="text1"/>
              </w:rPr>
            </w:pPr>
            <w:r w:rsidRPr="00A06C6C">
              <w:rPr>
                <w:rFonts w:asciiTheme="majorBidi" w:hAnsiTheme="majorBidi" w:cstheme="majorBidi"/>
              </w:rPr>
              <w:t>Med</w:t>
            </w:r>
            <w:r>
              <w:rPr>
                <w:rFonts w:asciiTheme="majorBidi" w:hAnsiTheme="majorBidi" w:cstheme="majorBidi"/>
              </w:rPr>
              <w:t>ium</w:t>
            </w:r>
          </w:p>
          <w:p w:rsidR="00F55E55" w:rsidRPr="00A06C6C" w:rsidRDefault="00F55E55" w:rsidP="0056665A">
            <w:pPr>
              <w:spacing w:after="0"/>
              <w:ind w:left="-90" w:right="-108"/>
              <w:jc w:val="center"/>
              <w:rPr>
                <w:rFonts w:asciiTheme="majorBidi" w:hAnsiTheme="majorBidi" w:cstheme="majorBidi"/>
                <w:color w:val="000000" w:themeColor="text1"/>
              </w:rPr>
            </w:pPr>
            <w:r w:rsidRPr="00A06C6C">
              <w:rPr>
                <w:rFonts w:asciiTheme="majorBidi" w:hAnsiTheme="majorBidi" w:cstheme="majorBidi"/>
              </w:rPr>
              <w:t>Strong</w:t>
            </w:r>
            <w:r>
              <w:rPr>
                <w:rFonts w:asciiTheme="majorBidi" w:hAnsiTheme="majorBidi" w:cstheme="majorBidi"/>
              </w:rPr>
              <w:t xml:space="preserve"> </w:t>
            </w:r>
            <w:r w:rsidRPr="00A06C6C">
              <w:rPr>
                <w:rFonts w:asciiTheme="majorBidi" w:hAnsiTheme="majorBidi" w:cstheme="majorBidi"/>
                <w:color w:val="000000" w:themeColor="text1"/>
              </w:rPr>
              <w:t>(R</w:t>
            </w:r>
            <w:r>
              <w:rPr>
                <w:rFonts w:asciiTheme="majorBidi" w:hAnsiTheme="majorBidi" w:cstheme="majorBidi"/>
                <w:color w:val="000000" w:themeColor="text1"/>
              </w:rPr>
              <w:t>3</w:t>
            </w:r>
            <w:r w:rsidRPr="00A06C6C">
              <w:rPr>
                <w:rFonts w:asciiTheme="majorBidi" w:hAnsiTheme="majorBidi" w:cstheme="majorBidi"/>
                <w:color w:val="000000" w:themeColor="text1"/>
              </w:rPr>
              <w:t>)</w:t>
            </w:r>
          </w:p>
        </w:tc>
        <w:tc>
          <w:tcPr>
            <w:tcW w:w="1527" w:type="dxa"/>
            <w:vAlign w:val="center"/>
          </w:tcPr>
          <w:p w:rsidR="00F55E55" w:rsidRPr="00A06C6C" w:rsidRDefault="00F55E55" w:rsidP="0056665A">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Vertical</w:t>
            </w:r>
          </w:p>
        </w:tc>
        <w:tc>
          <w:tcPr>
            <w:tcW w:w="816"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35.6</w:t>
            </w:r>
          </w:p>
        </w:tc>
        <w:tc>
          <w:tcPr>
            <w:tcW w:w="99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0.25</w:t>
            </w:r>
          </w:p>
        </w:tc>
        <w:tc>
          <w:tcPr>
            <w:tcW w:w="81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31.4</w:t>
            </w:r>
          </w:p>
        </w:tc>
        <w:tc>
          <w:tcPr>
            <w:tcW w:w="90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+11.2</w:t>
            </w:r>
          </w:p>
        </w:tc>
        <w:tc>
          <w:tcPr>
            <w:tcW w:w="693" w:type="dxa"/>
            <w:shd w:val="clear" w:color="auto" w:fill="auto"/>
            <w:vAlign w:val="center"/>
          </w:tcPr>
          <w:p w:rsidR="00F55E55" w:rsidRPr="00867852" w:rsidRDefault="00F55E55" w:rsidP="0056665A">
            <w:pPr>
              <w:spacing w:after="0"/>
              <w:ind w:right="-108"/>
              <w:jc w:val="center"/>
              <w:rPr>
                <w:rFonts w:asciiTheme="majorBidi" w:hAnsiTheme="majorBidi" w:cstheme="majorBidi"/>
                <w:color w:val="000000" w:themeColor="text1"/>
              </w:rPr>
            </w:pPr>
            <w:r w:rsidRPr="00867852">
              <w:rPr>
                <w:rFonts w:asciiTheme="majorBidi" w:hAnsiTheme="majorBidi" w:cstheme="majorBidi"/>
                <w:color w:val="000000" w:themeColor="text1"/>
              </w:rPr>
              <w:t>62.2</w:t>
            </w:r>
          </w:p>
        </w:tc>
        <w:tc>
          <w:tcPr>
            <w:tcW w:w="810"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51</w:t>
            </w:r>
          </w:p>
        </w:tc>
        <w:tc>
          <w:tcPr>
            <w:tcW w:w="873"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-39.9</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11.</w:t>
            </w:r>
            <w:r>
              <w:rPr>
                <w:rFonts w:asciiTheme="majorBidi" w:hAnsiTheme="majorBidi" w:cstheme="majorBidi"/>
                <w:color w:val="000000" w:themeColor="text1"/>
              </w:rPr>
              <w:t>2</w:t>
            </w:r>
          </w:p>
        </w:tc>
      </w:tr>
      <w:tr w:rsidR="00F55E55" w:rsidRPr="00D50E2F" w:rsidTr="0056665A">
        <w:tc>
          <w:tcPr>
            <w:tcW w:w="1455" w:type="dxa"/>
            <w:vMerge/>
            <w:vAlign w:val="center"/>
          </w:tcPr>
          <w:p w:rsidR="00F55E55" w:rsidRPr="00A06C6C" w:rsidRDefault="00F55E55" w:rsidP="0056665A">
            <w:pPr>
              <w:spacing w:after="0"/>
              <w:ind w:left="-90" w:right="-108"/>
              <w:jc w:val="center"/>
              <w:rPr>
                <w:rFonts w:asciiTheme="majorBidi" w:hAnsiTheme="majorBidi" w:cstheme="majorBidi"/>
                <w:color w:val="000000" w:themeColor="text1"/>
              </w:rPr>
            </w:pPr>
          </w:p>
        </w:tc>
        <w:tc>
          <w:tcPr>
            <w:tcW w:w="1527" w:type="dxa"/>
          </w:tcPr>
          <w:p w:rsidR="00F55E55" w:rsidRPr="00A06C6C" w:rsidRDefault="00F55E55" w:rsidP="0056665A">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35.6</w:t>
            </w:r>
          </w:p>
        </w:tc>
        <w:tc>
          <w:tcPr>
            <w:tcW w:w="99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0.25</w:t>
            </w:r>
          </w:p>
        </w:tc>
        <w:tc>
          <w:tcPr>
            <w:tcW w:w="81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31.4</w:t>
            </w:r>
          </w:p>
        </w:tc>
        <w:tc>
          <w:tcPr>
            <w:tcW w:w="90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+11.2</w:t>
            </w:r>
          </w:p>
        </w:tc>
        <w:tc>
          <w:tcPr>
            <w:tcW w:w="693" w:type="dxa"/>
            <w:shd w:val="clear" w:color="auto" w:fill="auto"/>
            <w:vAlign w:val="center"/>
          </w:tcPr>
          <w:p w:rsidR="00F55E55" w:rsidRPr="00867852" w:rsidRDefault="00F55E55" w:rsidP="0056665A">
            <w:pPr>
              <w:spacing w:after="0"/>
              <w:ind w:right="-108"/>
              <w:jc w:val="center"/>
              <w:rPr>
                <w:rFonts w:asciiTheme="majorBidi" w:hAnsiTheme="majorBidi" w:cstheme="majorBidi"/>
                <w:color w:val="000000" w:themeColor="text1"/>
              </w:rPr>
            </w:pPr>
            <w:r w:rsidRPr="00867852">
              <w:rPr>
                <w:rFonts w:asciiTheme="majorBidi" w:hAnsiTheme="majorBidi" w:cstheme="majorBidi"/>
                <w:color w:val="000000" w:themeColor="text1"/>
              </w:rPr>
              <w:t>62.2</w:t>
            </w:r>
          </w:p>
        </w:tc>
        <w:tc>
          <w:tcPr>
            <w:tcW w:w="810"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51</w:t>
            </w:r>
          </w:p>
        </w:tc>
        <w:tc>
          <w:tcPr>
            <w:tcW w:w="873"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-38.2</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12.8</w:t>
            </w:r>
          </w:p>
        </w:tc>
      </w:tr>
      <w:tr w:rsidR="00F55E55" w:rsidRPr="00D50E2F" w:rsidTr="0056665A">
        <w:trPr>
          <w:trHeight w:val="77"/>
        </w:trPr>
        <w:tc>
          <w:tcPr>
            <w:tcW w:w="1455" w:type="dxa"/>
            <w:vMerge/>
            <w:vAlign w:val="center"/>
          </w:tcPr>
          <w:p w:rsidR="00F55E55" w:rsidRPr="00A06C6C" w:rsidRDefault="00F55E55" w:rsidP="0056665A">
            <w:pPr>
              <w:spacing w:after="0"/>
              <w:ind w:left="-90" w:right="-108"/>
              <w:jc w:val="center"/>
              <w:rPr>
                <w:rFonts w:asciiTheme="majorBidi" w:hAnsiTheme="majorBidi" w:cstheme="majorBidi"/>
                <w:color w:val="000000" w:themeColor="text1"/>
              </w:rPr>
            </w:pPr>
          </w:p>
        </w:tc>
        <w:tc>
          <w:tcPr>
            <w:tcW w:w="1527" w:type="dxa"/>
          </w:tcPr>
          <w:p w:rsidR="00F55E55" w:rsidRPr="00A06C6C" w:rsidRDefault="00F55E55" w:rsidP="0056665A">
            <w:pPr>
              <w:spacing w:after="0"/>
              <w:ind w:right="-108"/>
              <w:rPr>
                <w:rFonts w:asciiTheme="majorBidi" w:hAnsiTheme="majorBidi" w:cstheme="majorBidi"/>
                <w:color w:val="000000" w:themeColor="text1"/>
              </w:rPr>
            </w:pPr>
            <w:r w:rsidRPr="00A06C6C">
              <w:rPr>
                <w:rFonts w:asciiTheme="majorBidi" w:hAnsiTheme="majorBidi" w:cstheme="majorBidi"/>
                <w:color w:val="000000" w:themeColor="text1"/>
              </w:rPr>
              <w:t xml:space="preserve">Horizontal// </w:t>
            </w:r>
            <w:r w:rsidRPr="00A06C6C">
              <w:rPr>
                <w:rFonts w:ascii="Symbol" w:hAnsi="Symbol" w:cstheme="majorBidi"/>
                <w:color w:val="000000" w:themeColor="text1"/>
              </w:rPr>
              <w:t></w:t>
            </w:r>
            <w:r>
              <w:rPr>
                <w:rFonts w:asciiTheme="majorBidi" w:hAnsiTheme="majorBidi" w:cstheme="majorBidi"/>
                <w:color w:val="000000" w:themeColor="text1"/>
                <w:vertAlign w:val="subscript"/>
              </w:rPr>
              <w:t>H</w:t>
            </w:r>
          </w:p>
        </w:tc>
        <w:tc>
          <w:tcPr>
            <w:tcW w:w="816"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35.6</w:t>
            </w:r>
          </w:p>
        </w:tc>
        <w:tc>
          <w:tcPr>
            <w:tcW w:w="99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0.25</w:t>
            </w:r>
          </w:p>
        </w:tc>
        <w:tc>
          <w:tcPr>
            <w:tcW w:w="81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31.4</w:t>
            </w:r>
          </w:p>
        </w:tc>
        <w:tc>
          <w:tcPr>
            <w:tcW w:w="900" w:type="dxa"/>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+11.2</w:t>
            </w:r>
          </w:p>
        </w:tc>
        <w:tc>
          <w:tcPr>
            <w:tcW w:w="693" w:type="dxa"/>
            <w:shd w:val="clear" w:color="auto" w:fill="auto"/>
            <w:vAlign w:val="center"/>
          </w:tcPr>
          <w:p w:rsidR="00F55E55" w:rsidRPr="00867852" w:rsidRDefault="00F55E55" w:rsidP="0056665A">
            <w:pPr>
              <w:spacing w:after="0"/>
              <w:ind w:right="-108"/>
              <w:jc w:val="center"/>
              <w:rPr>
                <w:rFonts w:asciiTheme="majorBidi" w:hAnsiTheme="majorBidi" w:cstheme="majorBidi"/>
                <w:color w:val="000000" w:themeColor="text1"/>
              </w:rPr>
            </w:pPr>
            <w:r w:rsidRPr="00867852">
              <w:rPr>
                <w:rFonts w:asciiTheme="majorBidi" w:hAnsiTheme="majorBidi" w:cstheme="majorBidi"/>
                <w:color w:val="000000" w:themeColor="text1"/>
              </w:rPr>
              <w:t>62.2</w:t>
            </w:r>
          </w:p>
        </w:tc>
        <w:tc>
          <w:tcPr>
            <w:tcW w:w="810"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0</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51</w:t>
            </w:r>
          </w:p>
        </w:tc>
        <w:tc>
          <w:tcPr>
            <w:tcW w:w="873"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-33.3</w:t>
            </w:r>
          </w:p>
        </w:tc>
        <w:tc>
          <w:tcPr>
            <w:tcW w:w="657" w:type="dxa"/>
            <w:shd w:val="clear" w:color="auto" w:fill="auto"/>
            <w:vAlign w:val="center"/>
          </w:tcPr>
          <w:p w:rsidR="00F55E55" w:rsidRPr="00A06C6C" w:rsidRDefault="00F55E55" w:rsidP="0056665A">
            <w:pPr>
              <w:spacing w:after="0"/>
              <w:jc w:val="center"/>
              <w:rPr>
                <w:rFonts w:asciiTheme="majorBidi" w:hAnsiTheme="majorBidi" w:cstheme="majorBidi"/>
                <w:color w:val="000000" w:themeColor="text1"/>
              </w:rPr>
            </w:pPr>
            <w:r w:rsidRPr="00A06C6C">
              <w:rPr>
                <w:rFonts w:asciiTheme="majorBidi" w:hAnsiTheme="majorBidi" w:cstheme="majorBidi"/>
                <w:color w:val="000000" w:themeColor="text1"/>
              </w:rPr>
              <w:t>17.7</w:t>
            </w:r>
          </w:p>
        </w:tc>
      </w:tr>
    </w:tbl>
    <w:p w:rsidR="00667086" w:rsidRPr="00667086" w:rsidRDefault="00667086" w:rsidP="00F55E55">
      <w:pPr>
        <w:spacing w:after="120" w:line="240" w:lineRule="exact"/>
        <w:ind w:left="-720" w:right="-576"/>
        <w:jc w:val="center"/>
        <w:rPr>
          <w:rFonts w:ascii="Times New Roman" w:hAnsi="Times New Roman" w:cs="Times New Roman"/>
        </w:rPr>
      </w:pPr>
    </w:p>
    <w:p w:rsidR="00EC7EB1" w:rsidRDefault="00EC7EB1" w:rsidP="00EC7EB1">
      <w:pPr>
        <w:spacing w:after="0"/>
        <w:rPr>
          <w:rFonts w:asciiTheme="majorBidi" w:hAnsiTheme="majorBidi" w:cstheme="majorBidi"/>
          <w:b/>
          <w:bCs/>
          <w:color w:val="000000" w:themeColor="text1"/>
          <w:sz w:val="28"/>
          <w:szCs w:val="28"/>
        </w:rPr>
        <w:sectPr w:rsidR="00EC7EB1" w:rsidSect="000E1966">
          <w:headerReference w:type="default" r:id="rId47"/>
          <w:pgSz w:w="12240" w:h="15840"/>
          <w:pgMar w:top="1886" w:right="1728" w:bottom="1800" w:left="1728" w:header="720" w:footer="720" w:gutter="0"/>
          <w:cols w:space="720"/>
          <w:docGrid w:linePitch="360"/>
        </w:sectPr>
      </w:pPr>
    </w:p>
    <w:p w:rsidR="00D65806" w:rsidRDefault="00D65806" w:rsidP="008B4E34">
      <w:pPr>
        <w:spacing w:after="0" w:line="240" w:lineRule="exact"/>
        <w:jc w:val="center"/>
        <w:rPr>
          <w:rFonts w:ascii="Times New Roman" w:hAnsi="Times New Roman" w:cs="Times New Roman"/>
        </w:rPr>
      </w:pPr>
    </w:p>
    <w:p w:rsidR="006C348F" w:rsidRDefault="006C348F" w:rsidP="00336D52">
      <w:pPr>
        <w:spacing w:after="0"/>
        <w:jc w:val="center"/>
      </w:pPr>
    </w:p>
    <w:p w:rsidR="00D65806" w:rsidRDefault="00D65806" w:rsidP="00336D52">
      <w:pPr>
        <w:spacing w:after="0"/>
        <w:jc w:val="center"/>
      </w:pPr>
      <w:r>
        <w:rPr>
          <w:noProof/>
          <w:lang w:eastAsia="en-US"/>
        </w:rPr>
        <w:drawing>
          <wp:inline distT="0" distB="0" distL="0" distR="0" wp14:anchorId="7BBC36F2" wp14:editId="7E94E290">
            <wp:extent cx="4572000" cy="3390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C7EB1" w:rsidRDefault="0097693F" w:rsidP="00336D52">
      <w:pPr>
        <w:spacing w:before="120" w:after="0" w:line="240" w:lineRule="exact"/>
        <w:jc w:val="center"/>
        <w:rPr>
          <w:rFonts w:ascii="Times New Roman" w:hAnsi="Times New Roman" w:cs="Times New Roman"/>
        </w:rPr>
      </w:pPr>
      <w:r>
        <w:rPr>
          <w:rFonts w:ascii="Times New Roman" w:hAnsi="Times New Roman" w:cs="Times New Roman"/>
        </w:rPr>
        <w:t>Fig.</w:t>
      </w:r>
      <w:r w:rsidR="00EC7EB1" w:rsidRPr="008E59B1">
        <w:rPr>
          <w:rFonts w:ascii="Times New Roman" w:hAnsi="Times New Roman" w:cs="Times New Roman"/>
        </w:rPr>
        <w:t xml:space="preserve"> 10 </w:t>
      </w:r>
      <w:proofErr w:type="gramStart"/>
      <w:r w:rsidR="00EC7EB1" w:rsidRPr="008E59B1">
        <w:rPr>
          <w:rFonts w:ascii="Times New Roman" w:hAnsi="Times New Roman" w:cs="Times New Roman"/>
        </w:rPr>
        <w:t>Safe</w:t>
      </w:r>
      <w:proofErr w:type="gramEnd"/>
      <w:r w:rsidR="00EC7EB1" w:rsidRPr="008E59B1">
        <w:rPr>
          <w:rFonts w:ascii="Times New Roman" w:hAnsi="Times New Roman" w:cs="Times New Roman"/>
        </w:rPr>
        <w:t xml:space="preserve"> </w:t>
      </w:r>
      <w:r w:rsidR="008B4E34">
        <w:rPr>
          <w:rFonts w:ascii="Times New Roman" w:hAnsi="Times New Roman" w:cs="Times New Roman"/>
        </w:rPr>
        <w:t>d</w:t>
      </w:r>
      <w:r w:rsidR="00EC7EB1" w:rsidRPr="008E59B1">
        <w:rPr>
          <w:rFonts w:ascii="Times New Roman" w:hAnsi="Times New Roman" w:cs="Times New Roman"/>
        </w:rPr>
        <w:t xml:space="preserve">rilling in </w:t>
      </w:r>
      <w:r w:rsidR="008B4E34">
        <w:rPr>
          <w:rFonts w:ascii="Times New Roman" w:hAnsi="Times New Roman" w:cs="Times New Roman"/>
        </w:rPr>
        <w:t>t</w:t>
      </w:r>
      <w:r w:rsidR="00EC7EB1" w:rsidRPr="008E59B1">
        <w:rPr>
          <w:rFonts w:ascii="Times New Roman" w:hAnsi="Times New Roman" w:cs="Times New Roman"/>
        </w:rPr>
        <w:t xml:space="preserve">hree </w:t>
      </w:r>
      <w:r w:rsidR="008B4E34">
        <w:rPr>
          <w:rFonts w:ascii="Times New Roman" w:hAnsi="Times New Roman" w:cs="Times New Roman"/>
        </w:rPr>
        <w:t>d</w:t>
      </w:r>
      <w:r w:rsidR="00EC7EB1" w:rsidRPr="008E59B1">
        <w:rPr>
          <w:rFonts w:ascii="Times New Roman" w:hAnsi="Times New Roman" w:cs="Times New Roman"/>
        </w:rPr>
        <w:t xml:space="preserve">ifferent </w:t>
      </w:r>
      <w:r w:rsidR="00595760">
        <w:rPr>
          <w:rFonts w:ascii="Times New Roman" w:hAnsi="Times New Roman" w:cs="Times New Roman"/>
        </w:rPr>
        <w:t xml:space="preserve">horizontal </w:t>
      </w:r>
      <w:r w:rsidR="008B4E34">
        <w:rPr>
          <w:rFonts w:ascii="Times New Roman" w:hAnsi="Times New Roman" w:cs="Times New Roman"/>
        </w:rPr>
        <w:t>w</w:t>
      </w:r>
      <w:r w:rsidR="00EC7EB1" w:rsidRPr="008E59B1">
        <w:rPr>
          <w:rFonts w:ascii="Times New Roman" w:hAnsi="Times New Roman" w:cs="Times New Roman"/>
        </w:rPr>
        <w:t xml:space="preserve">ell </w:t>
      </w:r>
      <w:r w:rsidR="008B4E34">
        <w:rPr>
          <w:rFonts w:ascii="Times New Roman" w:hAnsi="Times New Roman" w:cs="Times New Roman"/>
        </w:rPr>
        <w:t>o</w:t>
      </w:r>
      <w:r w:rsidR="00EC7EB1" w:rsidRPr="008E59B1">
        <w:rPr>
          <w:rFonts w:ascii="Times New Roman" w:hAnsi="Times New Roman" w:cs="Times New Roman"/>
        </w:rPr>
        <w:t>rientations and</w:t>
      </w:r>
      <w:r w:rsidR="008E59B1">
        <w:rPr>
          <w:rFonts w:ascii="Times New Roman" w:hAnsi="Times New Roman" w:cs="Times New Roman"/>
        </w:rPr>
        <w:t xml:space="preserve"> </w:t>
      </w:r>
      <w:r w:rsidR="008B4E34">
        <w:rPr>
          <w:rFonts w:ascii="Times New Roman" w:hAnsi="Times New Roman" w:cs="Times New Roman"/>
        </w:rPr>
        <w:t>f</w:t>
      </w:r>
      <w:r w:rsidR="00EC7EB1" w:rsidRPr="008E59B1">
        <w:rPr>
          <w:rFonts w:ascii="Times New Roman" w:hAnsi="Times New Roman" w:cs="Times New Roman"/>
        </w:rPr>
        <w:t xml:space="preserve">ormations </w:t>
      </w:r>
      <w:r w:rsidR="008B4E34">
        <w:rPr>
          <w:rFonts w:ascii="Times New Roman" w:hAnsi="Times New Roman" w:cs="Times New Roman"/>
        </w:rPr>
        <w:t>s</w:t>
      </w:r>
      <w:r w:rsidR="00EC7EB1" w:rsidRPr="008E59B1">
        <w:rPr>
          <w:rFonts w:ascii="Times New Roman" w:hAnsi="Times New Roman" w:cs="Times New Roman"/>
        </w:rPr>
        <w:t>trengths</w:t>
      </w:r>
    </w:p>
    <w:p w:rsidR="008E59B1" w:rsidRDefault="008E59B1" w:rsidP="008E59B1">
      <w:pPr>
        <w:spacing w:after="0" w:line="240" w:lineRule="exact"/>
        <w:jc w:val="center"/>
        <w:rPr>
          <w:rFonts w:ascii="Times New Roman" w:hAnsi="Times New Roman" w:cs="Times New Roman"/>
        </w:rPr>
      </w:pPr>
    </w:p>
    <w:p w:rsidR="005D5EEC" w:rsidRDefault="005D5EEC" w:rsidP="005D5EEC">
      <w:pPr>
        <w:spacing w:after="0" w:line="240" w:lineRule="exact"/>
        <w:jc w:val="both"/>
        <w:rPr>
          <w:rFonts w:ascii="Times New Roman" w:hAnsi="Times New Roman" w:cs="Times New Roman"/>
        </w:rPr>
      </w:pPr>
    </w:p>
    <w:p w:rsidR="00A8408C" w:rsidRPr="005D5EEC" w:rsidRDefault="00A8408C" w:rsidP="00A8408C">
      <w:pPr>
        <w:numPr>
          <w:ilvl w:val="0"/>
          <w:numId w:val="2"/>
        </w:numPr>
        <w:tabs>
          <w:tab w:val="clear" w:pos="1009"/>
          <w:tab w:val="num" w:pos="294"/>
        </w:tabs>
        <w:spacing w:after="0" w:line="240" w:lineRule="exact"/>
        <w:ind w:left="294" w:hanging="294"/>
        <w:jc w:val="both"/>
        <w:rPr>
          <w:rFonts w:ascii="Times New Roman" w:hAnsi="Times New Roman" w:cs="Times New Roman"/>
          <w:b/>
          <w:bCs/>
          <w:lang w:eastAsia="ko-KR"/>
        </w:rPr>
      </w:pPr>
      <w:r>
        <w:rPr>
          <w:rFonts w:ascii="Times New Roman" w:hAnsi="Times New Roman" w:cs="Times New Roman"/>
          <w:b/>
          <w:bCs/>
          <w:lang w:eastAsia="ko-KR"/>
        </w:rPr>
        <w:t>Acknowledgment</w:t>
      </w:r>
    </w:p>
    <w:p w:rsidR="00A8408C" w:rsidRPr="00A8408C" w:rsidRDefault="00A8408C" w:rsidP="00A8408C">
      <w:pPr>
        <w:spacing w:after="0" w:line="240" w:lineRule="exact"/>
        <w:ind w:firstLine="294"/>
        <w:contextualSpacing/>
        <w:jc w:val="both"/>
        <w:rPr>
          <w:rFonts w:ascii="Times New Roman" w:hAnsi="Times New Roman" w:cs="Times New Roman"/>
          <w:lang w:eastAsia="ko-KR"/>
        </w:rPr>
      </w:pPr>
      <w:r w:rsidRPr="00A8408C">
        <w:rPr>
          <w:rFonts w:ascii="Times New Roman" w:hAnsi="Times New Roman" w:cs="Times New Roman"/>
        </w:rPr>
        <w:t xml:space="preserve">The </w:t>
      </w:r>
      <w:r>
        <w:rPr>
          <w:rFonts w:ascii="Times New Roman" w:hAnsi="Times New Roman" w:cs="Times New Roman"/>
        </w:rPr>
        <w:t>author would like to thank King Saud University for supporting him to present this work in the 9</w:t>
      </w:r>
      <w:r w:rsidRPr="00A8408C">
        <w:rPr>
          <w:rFonts w:ascii="Times New Roman" w:hAnsi="Times New Roman" w:cs="Times New Roman"/>
          <w:vertAlign w:val="superscript"/>
        </w:rPr>
        <w:t>th</w:t>
      </w:r>
      <w:r>
        <w:rPr>
          <w:rFonts w:ascii="Times New Roman" w:hAnsi="Times New Roman" w:cs="Times New Roman"/>
        </w:rPr>
        <w:t xml:space="preserve"> Asian Rock Mechanics Symposium, 18-20 October, 2016, Bail, Indonesia</w:t>
      </w:r>
      <w:r w:rsidRPr="00A8408C">
        <w:rPr>
          <w:rFonts w:ascii="Times New Roman" w:hAnsi="Times New Roman" w:cs="Times New Roman"/>
          <w:lang w:eastAsia="ko-KR"/>
        </w:rPr>
        <w:t>.</w:t>
      </w:r>
    </w:p>
    <w:p w:rsidR="005D5EEC" w:rsidRPr="005D5EEC" w:rsidRDefault="005D5EEC" w:rsidP="005D5EEC">
      <w:pPr>
        <w:spacing w:after="0" w:line="240" w:lineRule="exact"/>
        <w:jc w:val="both"/>
        <w:rPr>
          <w:rFonts w:ascii="Times New Roman" w:hAnsi="Times New Roman" w:cs="Times New Roman"/>
        </w:rPr>
      </w:pPr>
    </w:p>
    <w:p w:rsidR="00EC7EB1" w:rsidRPr="005D5EEC" w:rsidRDefault="00A8408C" w:rsidP="005D5EEC">
      <w:pPr>
        <w:numPr>
          <w:ilvl w:val="0"/>
          <w:numId w:val="2"/>
        </w:numPr>
        <w:tabs>
          <w:tab w:val="clear" w:pos="1009"/>
          <w:tab w:val="num" w:pos="294"/>
        </w:tabs>
        <w:spacing w:after="0" w:line="240" w:lineRule="exact"/>
        <w:ind w:left="294" w:hanging="294"/>
        <w:jc w:val="both"/>
        <w:rPr>
          <w:rFonts w:ascii="Times New Roman" w:hAnsi="Times New Roman" w:cs="Times New Roman"/>
          <w:b/>
          <w:bCs/>
          <w:lang w:eastAsia="ko-KR"/>
        </w:rPr>
      </w:pPr>
      <w:r>
        <w:rPr>
          <w:rFonts w:ascii="Times New Roman" w:hAnsi="Times New Roman" w:cs="Times New Roman"/>
          <w:b/>
          <w:bCs/>
          <w:lang w:eastAsia="ko-KR"/>
        </w:rPr>
        <w:t>References</w:t>
      </w:r>
    </w:p>
    <w:p w:rsidR="00C86145" w:rsidRDefault="005F1089" w:rsidP="00A8408C">
      <w:pPr>
        <w:autoSpaceDE w:val="0"/>
        <w:autoSpaceDN w:val="0"/>
        <w:adjustRightInd w:val="0"/>
        <w:spacing w:after="0" w:line="240" w:lineRule="exact"/>
        <w:ind w:left="284" w:hangingChars="129" w:hanging="284"/>
        <w:rPr>
          <w:rFonts w:ascii="Times New Roman" w:hAnsi="Times New Roman" w:cs="Times New Roman"/>
        </w:rPr>
      </w:pPr>
      <w:r w:rsidRPr="005F1089">
        <w:rPr>
          <w:rFonts w:ascii="Times New Roman" w:hAnsi="Times New Roman" w:cs="Times New Roman"/>
        </w:rPr>
        <w:t xml:space="preserve">Brady, B. H. G. and Brown E. T., 1985, “Rock Mechanics for Underground Mining”, Published by </w:t>
      </w:r>
      <w:r w:rsidRPr="00A27751">
        <w:rPr>
          <w:rFonts w:ascii="Times New Roman" w:hAnsi="Times New Roman" w:cs="Times New Roman"/>
          <w:i/>
          <w:iCs/>
        </w:rPr>
        <w:t>George Allen</w:t>
      </w:r>
      <w:r w:rsidRPr="00A27751">
        <w:rPr>
          <w:rFonts w:ascii="Times New Roman" w:hAnsi="Times New Roman" w:cs="Times New Roman"/>
        </w:rPr>
        <w:t xml:space="preserve"> &amp; Unwin</w:t>
      </w:r>
      <w:r w:rsidRPr="005F1089">
        <w:rPr>
          <w:rFonts w:ascii="Times New Roman" w:hAnsi="Times New Roman" w:cs="Times New Roman"/>
        </w:rPr>
        <w:t>, London, England.</w:t>
      </w:r>
    </w:p>
    <w:p w:rsidR="005F1089" w:rsidRPr="005D5EEC" w:rsidRDefault="005F1089" w:rsidP="00A8408C">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 xml:space="preserve">Fjaer E., Holt R. M., </w:t>
      </w:r>
      <w:proofErr w:type="spellStart"/>
      <w:r w:rsidRPr="005D5EEC">
        <w:rPr>
          <w:rFonts w:ascii="Times New Roman" w:hAnsi="Times New Roman" w:cs="Times New Roman"/>
        </w:rPr>
        <w:t>Horsrud</w:t>
      </w:r>
      <w:proofErr w:type="spellEnd"/>
      <w:r w:rsidRPr="005D5EEC">
        <w:rPr>
          <w:rFonts w:ascii="Times New Roman" w:hAnsi="Times New Roman" w:cs="Times New Roman"/>
        </w:rPr>
        <w:t xml:space="preserve"> P., </w:t>
      </w:r>
      <w:proofErr w:type="spellStart"/>
      <w:r w:rsidRPr="005D5EEC">
        <w:rPr>
          <w:rFonts w:ascii="Times New Roman" w:hAnsi="Times New Roman" w:cs="Times New Roman"/>
        </w:rPr>
        <w:t>Raaen</w:t>
      </w:r>
      <w:proofErr w:type="spellEnd"/>
      <w:r w:rsidRPr="005D5EEC">
        <w:rPr>
          <w:rFonts w:ascii="Times New Roman" w:hAnsi="Times New Roman" w:cs="Times New Roman"/>
        </w:rPr>
        <w:t xml:space="preserve"> A. R., and </w:t>
      </w:r>
      <w:proofErr w:type="spellStart"/>
      <w:r w:rsidRPr="005D5EEC">
        <w:rPr>
          <w:rFonts w:ascii="Times New Roman" w:hAnsi="Times New Roman" w:cs="Times New Roman"/>
        </w:rPr>
        <w:t>Risnes</w:t>
      </w:r>
      <w:proofErr w:type="spellEnd"/>
      <w:r w:rsidRPr="005D5EEC">
        <w:rPr>
          <w:rFonts w:ascii="Times New Roman" w:hAnsi="Times New Roman" w:cs="Times New Roman"/>
        </w:rPr>
        <w:t xml:space="preserve"> R.</w:t>
      </w:r>
      <w:r>
        <w:rPr>
          <w:rFonts w:ascii="Times New Roman" w:hAnsi="Times New Roman" w:cs="Times New Roman"/>
        </w:rPr>
        <w:t xml:space="preserve">, 1992, </w:t>
      </w:r>
      <w:r w:rsidRPr="005D5EEC">
        <w:rPr>
          <w:rFonts w:ascii="Times New Roman" w:hAnsi="Times New Roman" w:cs="Times New Roman"/>
        </w:rPr>
        <w:t xml:space="preserve">“Petroleum Related Rock Mechanics”, </w:t>
      </w:r>
      <w:r w:rsidRPr="00425BAA">
        <w:rPr>
          <w:rFonts w:ascii="Times New Roman" w:hAnsi="Times New Roman" w:cs="Times New Roman"/>
          <w:i/>
          <w:iCs/>
        </w:rPr>
        <w:t>Elsevier Science Publishers</w:t>
      </w:r>
      <w:r w:rsidRPr="005D5EEC">
        <w:rPr>
          <w:rFonts w:ascii="Times New Roman" w:hAnsi="Times New Roman" w:cs="Times New Roman"/>
        </w:rPr>
        <w:t xml:space="preserve"> B. V., Amsterdam, The N</w:t>
      </w:r>
      <w:r>
        <w:rPr>
          <w:rFonts w:ascii="Times New Roman" w:hAnsi="Times New Roman" w:cs="Times New Roman"/>
        </w:rPr>
        <w:t>etherlands, 1</w:t>
      </w:r>
      <w:r w:rsidRPr="00C86145">
        <w:rPr>
          <w:rFonts w:ascii="Times New Roman" w:hAnsi="Times New Roman" w:cs="Times New Roman"/>
          <w:vertAlign w:val="superscript"/>
        </w:rPr>
        <w:t>st</w:t>
      </w:r>
      <w:r>
        <w:rPr>
          <w:rFonts w:ascii="Times New Roman" w:hAnsi="Times New Roman" w:cs="Times New Roman"/>
        </w:rPr>
        <w:t xml:space="preserve"> edition</w:t>
      </w:r>
      <w:r w:rsidRPr="005D5EEC">
        <w:rPr>
          <w:rFonts w:ascii="Times New Roman" w:hAnsi="Times New Roman" w:cs="Times New Roman"/>
        </w:rPr>
        <w:t>.</w:t>
      </w:r>
    </w:p>
    <w:p w:rsidR="005F1089" w:rsidRPr="005D5EEC" w:rsidRDefault="005F1089" w:rsidP="00A8408C">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International Society for Rock Mechanics,</w:t>
      </w:r>
      <w:r>
        <w:rPr>
          <w:rFonts w:ascii="Times New Roman" w:hAnsi="Times New Roman" w:cs="Times New Roman"/>
        </w:rPr>
        <w:t xml:space="preserve"> 1978,</w:t>
      </w:r>
      <w:r w:rsidRPr="005D5EEC">
        <w:rPr>
          <w:rFonts w:ascii="Times New Roman" w:hAnsi="Times New Roman" w:cs="Times New Roman"/>
        </w:rPr>
        <w:t xml:space="preserve"> “Suggested Methods for the Quantitative Description of Discontinuities in Rock Masses”, </w:t>
      </w:r>
      <w:r w:rsidRPr="00425BAA">
        <w:rPr>
          <w:rFonts w:ascii="Times New Roman" w:hAnsi="Times New Roman" w:cs="Times New Roman"/>
          <w:i/>
          <w:iCs/>
        </w:rPr>
        <w:t>Intl. J. Rock Mechanics and Mining Sciences &amp; Geomechanics Abstracts</w:t>
      </w:r>
      <w:r>
        <w:rPr>
          <w:rFonts w:ascii="Times New Roman" w:hAnsi="Times New Roman" w:cs="Times New Roman"/>
        </w:rPr>
        <w:t>, V-15, pp. 319-368</w:t>
      </w:r>
      <w:r w:rsidRPr="005D5EEC">
        <w:rPr>
          <w:rFonts w:ascii="Times New Roman" w:hAnsi="Times New Roman" w:cs="Times New Roman"/>
        </w:rPr>
        <w:t>.</w:t>
      </w:r>
    </w:p>
    <w:p w:rsidR="005F1089" w:rsidRDefault="005F1089" w:rsidP="00A8408C">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Jaeger J. C. &amp; Cook</w:t>
      </w:r>
      <w:r w:rsidRPr="00C86145">
        <w:rPr>
          <w:rFonts w:ascii="Times New Roman" w:hAnsi="Times New Roman" w:cs="Times New Roman"/>
        </w:rPr>
        <w:t xml:space="preserve"> </w:t>
      </w:r>
      <w:r w:rsidRPr="005D5EEC">
        <w:rPr>
          <w:rFonts w:ascii="Times New Roman" w:hAnsi="Times New Roman" w:cs="Times New Roman"/>
        </w:rPr>
        <w:t>N. G. W.</w:t>
      </w:r>
      <w:r>
        <w:rPr>
          <w:rFonts w:ascii="Times New Roman" w:hAnsi="Times New Roman" w:cs="Times New Roman"/>
        </w:rPr>
        <w:t>, 1979</w:t>
      </w:r>
      <w:r w:rsidRPr="005D5EEC">
        <w:rPr>
          <w:rFonts w:ascii="Times New Roman" w:hAnsi="Times New Roman" w:cs="Times New Roman"/>
        </w:rPr>
        <w:t xml:space="preserve"> “Fundamentals of Rock Mechanics”, 3rd edition, 593 pp.</w:t>
      </w:r>
      <w:r>
        <w:rPr>
          <w:rFonts w:ascii="Times New Roman" w:hAnsi="Times New Roman" w:cs="Times New Roman"/>
        </w:rPr>
        <w:t xml:space="preserve">, </w:t>
      </w:r>
      <w:r w:rsidRPr="00425BAA">
        <w:rPr>
          <w:rFonts w:ascii="Times New Roman" w:hAnsi="Times New Roman" w:cs="Times New Roman"/>
          <w:i/>
          <w:iCs/>
        </w:rPr>
        <w:t>Chapman and Hall</w:t>
      </w:r>
      <w:r w:rsidR="00425BAA">
        <w:rPr>
          <w:rFonts w:ascii="Times New Roman" w:hAnsi="Times New Roman" w:cs="Times New Roman"/>
          <w:i/>
          <w:iCs/>
        </w:rPr>
        <w:t>,</w:t>
      </w:r>
      <w:r w:rsidR="00425BAA" w:rsidRPr="00425BAA">
        <w:rPr>
          <w:rFonts w:ascii="Times New Roman" w:hAnsi="Times New Roman" w:cs="Times New Roman"/>
        </w:rPr>
        <w:t xml:space="preserve"> </w:t>
      </w:r>
      <w:r w:rsidR="00425BAA">
        <w:rPr>
          <w:rFonts w:ascii="Times New Roman" w:hAnsi="Times New Roman" w:cs="Times New Roman"/>
        </w:rPr>
        <w:t>London</w:t>
      </w:r>
      <w:r w:rsidRPr="005D5EEC">
        <w:rPr>
          <w:rFonts w:ascii="Times New Roman" w:hAnsi="Times New Roman" w:cs="Times New Roman"/>
        </w:rPr>
        <w:t>.</w:t>
      </w:r>
    </w:p>
    <w:p w:rsidR="005F1089" w:rsidRDefault="005F1089" w:rsidP="00A8408C">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Musaed N. J. Al-Awad</w:t>
      </w:r>
      <w:r>
        <w:rPr>
          <w:rFonts w:ascii="Times New Roman" w:hAnsi="Times New Roman" w:cs="Times New Roman"/>
        </w:rPr>
        <w:t xml:space="preserve">, 1998, </w:t>
      </w:r>
      <w:r w:rsidRPr="005D5EEC">
        <w:rPr>
          <w:rFonts w:ascii="Times New Roman" w:hAnsi="Times New Roman" w:cs="Times New Roman"/>
        </w:rPr>
        <w:t xml:space="preserve">“Rock Mechanics Applications in Petroleum Engineering Practices”, </w:t>
      </w:r>
      <w:r w:rsidRPr="00425BAA">
        <w:rPr>
          <w:rFonts w:ascii="Times New Roman" w:hAnsi="Times New Roman" w:cs="Times New Roman"/>
          <w:i/>
          <w:iCs/>
        </w:rPr>
        <w:t>Oil and Gas European Magazine</w:t>
      </w:r>
      <w:r>
        <w:rPr>
          <w:rFonts w:ascii="Times New Roman" w:hAnsi="Times New Roman" w:cs="Times New Roman"/>
        </w:rPr>
        <w:t>, Germany, December.</w:t>
      </w:r>
    </w:p>
    <w:p w:rsidR="005F1089" w:rsidRPr="005D5EEC" w:rsidRDefault="005F1089" w:rsidP="00A8408C">
      <w:pPr>
        <w:spacing w:after="0" w:line="240" w:lineRule="exact"/>
        <w:ind w:left="284" w:hangingChars="129" w:hanging="284"/>
        <w:jc w:val="both"/>
        <w:rPr>
          <w:rFonts w:ascii="Times New Roman" w:hAnsi="Times New Roman" w:cs="Times New Roman"/>
        </w:rPr>
      </w:pPr>
      <w:r>
        <w:rPr>
          <w:rFonts w:ascii="Times New Roman" w:hAnsi="Times New Roman" w:cs="Times New Roman"/>
        </w:rPr>
        <w:t>Musaed N. J. Al-Awad, 1997,</w:t>
      </w:r>
      <w:r w:rsidRPr="005D5EEC">
        <w:rPr>
          <w:rFonts w:ascii="Times New Roman" w:hAnsi="Times New Roman" w:cs="Times New Roman"/>
        </w:rPr>
        <w:t xml:space="preserve"> “Investigation of Factors Affecting the Stability of Horizontal Oil and Gas Wells”, </w:t>
      </w:r>
      <w:r w:rsidRPr="00425BAA">
        <w:rPr>
          <w:rFonts w:ascii="Times New Roman" w:hAnsi="Times New Roman" w:cs="Times New Roman"/>
          <w:i/>
          <w:iCs/>
        </w:rPr>
        <w:t>SPE Technical Symposium</w:t>
      </w:r>
      <w:r w:rsidRPr="005D5EEC">
        <w:rPr>
          <w:rFonts w:ascii="Times New Roman" w:hAnsi="Times New Roman" w:cs="Times New Roman"/>
        </w:rPr>
        <w:t>, Saudi Aramco, Dha</w:t>
      </w:r>
      <w:r>
        <w:rPr>
          <w:rFonts w:ascii="Times New Roman" w:hAnsi="Times New Roman" w:cs="Times New Roman"/>
        </w:rPr>
        <w:t>hran, pp. 79-90, June 8-10</w:t>
      </w:r>
      <w:r w:rsidRPr="005D5EEC">
        <w:rPr>
          <w:rFonts w:ascii="Times New Roman" w:hAnsi="Times New Roman" w:cs="Times New Roman"/>
        </w:rPr>
        <w:t>.</w:t>
      </w:r>
    </w:p>
    <w:p w:rsidR="005F1089" w:rsidRDefault="00EC7EB1" w:rsidP="00A8408C">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Philip Frink</w:t>
      </w:r>
      <w:r w:rsidR="00C86145">
        <w:rPr>
          <w:rFonts w:ascii="Times New Roman" w:hAnsi="Times New Roman" w:cs="Times New Roman"/>
        </w:rPr>
        <w:t xml:space="preserve">, 2006, </w:t>
      </w:r>
      <w:r w:rsidRPr="005D5EEC">
        <w:rPr>
          <w:rFonts w:ascii="Times New Roman" w:hAnsi="Times New Roman" w:cs="Times New Roman"/>
        </w:rPr>
        <w:t>“Managed Pressure Drilling - What</w:t>
      </w:r>
      <w:r w:rsidRPr="005D5EEC">
        <w:rPr>
          <w:rFonts w:ascii="Times New Roman" w:hAnsi="Times New Roman" w:cs="Times New Roman" w:hint="cs"/>
        </w:rPr>
        <w:t>’</w:t>
      </w:r>
      <w:r w:rsidRPr="005D5EEC">
        <w:rPr>
          <w:rFonts w:ascii="Times New Roman" w:hAnsi="Times New Roman" w:cs="Times New Roman"/>
        </w:rPr>
        <w:t>s in a Name?</w:t>
      </w:r>
      <w:proofErr w:type="gramStart"/>
      <w:r w:rsidR="00C86145" w:rsidRPr="005D5EEC">
        <w:rPr>
          <w:rFonts w:ascii="Times New Roman" w:hAnsi="Times New Roman" w:cs="Times New Roman"/>
        </w:rPr>
        <w:t>”</w:t>
      </w:r>
      <w:r w:rsidR="00C86145">
        <w:rPr>
          <w:rFonts w:ascii="Times New Roman" w:hAnsi="Times New Roman" w:cs="Times New Roman"/>
        </w:rPr>
        <w:t>,</w:t>
      </w:r>
      <w:proofErr w:type="gramEnd"/>
      <w:r w:rsidRPr="005D5EEC">
        <w:rPr>
          <w:rFonts w:ascii="Times New Roman" w:hAnsi="Times New Roman" w:cs="Times New Roman"/>
        </w:rPr>
        <w:t xml:space="preserve"> </w:t>
      </w:r>
      <w:r w:rsidRPr="00425BAA">
        <w:rPr>
          <w:rFonts w:ascii="Times New Roman" w:hAnsi="Times New Roman" w:cs="Times New Roman"/>
          <w:i/>
          <w:iCs/>
        </w:rPr>
        <w:t>Drill</w:t>
      </w:r>
      <w:r w:rsidR="00C86145" w:rsidRPr="00425BAA">
        <w:rPr>
          <w:rFonts w:ascii="Times New Roman" w:hAnsi="Times New Roman" w:cs="Times New Roman"/>
          <w:i/>
          <w:iCs/>
        </w:rPr>
        <w:t>ing Contractor</w:t>
      </w:r>
      <w:r w:rsidR="00C86145">
        <w:rPr>
          <w:rFonts w:ascii="Times New Roman" w:hAnsi="Times New Roman" w:cs="Times New Roman"/>
        </w:rPr>
        <w:t>, March/April</w:t>
      </w:r>
      <w:r w:rsidRPr="005D5EEC">
        <w:rPr>
          <w:rFonts w:ascii="Times New Roman" w:hAnsi="Times New Roman" w:cs="Times New Roman"/>
        </w:rPr>
        <w:t>.</w:t>
      </w:r>
      <w:r w:rsidR="005F1089" w:rsidRPr="005F1089">
        <w:rPr>
          <w:rFonts w:ascii="Times New Roman" w:hAnsi="Times New Roman" w:cs="Times New Roman"/>
        </w:rPr>
        <w:t xml:space="preserve"> </w:t>
      </w:r>
    </w:p>
    <w:p w:rsidR="005F1089" w:rsidRPr="005D5EEC" w:rsidRDefault="005F1089" w:rsidP="00B27CED">
      <w:pPr>
        <w:spacing w:after="0" w:line="240" w:lineRule="exact"/>
        <w:ind w:left="284" w:hangingChars="129" w:hanging="284"/>
        <w:jc w:val="both"/>
        <w:rPr>
          <w:rFonts w:ascii="Times New Roman" w:hAnsi="Times New Roman" w:cs="Times New Roman"/>
        </w:rPr>
      </w:pPr>
      <w:r w:rsidRPr="005D5EEC">
        <w:rPr>
          <w:rFonts w:ascii="Times New Roman" w:hAnsi="Times New Roman" w:cs="Times New Roman"/>
        </w:rPr>
        <w:t xml:space="preserve">Qiang Tan, </w:t>
      </w:r>
      <w:proofErr w:type="spellStart"/>
      <w:r w:rsidRPr="005D5EEC">
        <w:rPr>
          <w:rFonts w:ascii="Times New Roman" w:hAnsi="Times New Roman" w:cs="Times New Roman"/>
        </w:rPr>
        <w:t>Baohua</w:t>
      </w:r>
      <w:proofErr w:type="spellEnd"/>
      <w:r w:rsidRPr="005D5EEC">
        <w:rPr>
          <w:rFonts w:ascii="Times New Roman" w:hAnsi="Times New Roman" w:cs="Times New Roman"/>
        </w:rPr>
        <w:t xml:space="preserve"> Yu, </w:t>
      </w:r>
      <w:proofErr w:type="spellStart"/>
      <w:r w:rsidRPr="005D5EEC">
        <w:rPr>
          <w:rFonts w:ascii="Times New Roman" w:hAnsi="Times New Roman" w:cs="Times New Roman"/>
        </w:rPr>
        <w:t>Jingen</w:t>
      </w:r>
      <w:proofErr w:type="spellEnd"/>
      <w:r w:rsidRPr="005D5EEC">
        <w:rPr>
          <w:rFonts w:ascii="Times New Roman" w:hAnsi="Times New Roman" w:cs="Times New Roman"/>
        </w:rPr>
        <w:t xml:space="preserve"> </w:t>
      </w:r>
      <w:r>
        <w:rPr>
          <w:rFonts w:ascii="Times New Roman" w:hAnsi="Times New Roman" w:cs="Times New Roman"/>
        </w:rPr>
        <w:t xml:space="preserve">Deng, Kai Zhao and </w:t>
      </w:r>
      <w:proofErr w:type="spellStart"/>
      <w:r>
        <w:rPr>
          <w:rFonts w:ascii="Times New Roman" w:hAnsi="Times New Roman" w:cs="Times New Roman"/>
        </w:rPr>
        <w:t>Jianguo</w:t>
      </w:r>
      <w:proofErr w:type="spellEnd"/>
      <w:r>
        <w:rPr>
          <w:rFonts w:ascii="Times New Roman" w:hAnsi="Times New Roman" w:cs="Times New Roman"/>
        </w:rPr>
        <w:t xml:space="preserve"> Chen, 2015,</w:t>
      </w:r>
      <w:r w:rsidRPr="005D5EEC">
        <w:rPr>
          <w:rFonts w:ascii="Times New Roman" w:hAnsi="Times New Roman" w:cs="Times New Roman"/>
        </w:rPr>
        <w:t xml:space="preserve"> “Study on Wellbore Stability and Instability Mechanism in Piedmont Structures”, </w:t>
      </w:r>
      <w:proofErr w:type="gramStart"/>
      <w:r w:rsidRPr="00425BAA">
        <w:rPr>
          <w:rFonts w:ascii="Times New Roman" w:hAnsi="Times New Roman" w:cs="Times New Roman"/>
          <w:i/>
          <w:iCs/>
        </w:rPr>
        <w:t>The</w:t>
      </w:r>
      <w:proofErr w:type="gramEnd"/>
      <w:r w:rsidRPr="00425BAA">
        <w:rPr>
          <w:rFonts w:ascii="Times New Roman" w:hAnsi="Times New Roman" w:cs="Times New Roman"/>
          <w:i/>
          <w:iCs/>
        </w:rPr>
        <w:t xml:space="preserve"> Open Petroleum Engineering Journal</w:t>
      </w:r>
      <w:r>
        <w:rPr>
          <w:rFonts w:ascii="Times New Roman" w:hAnsi="Times New Roman" w:cs="Times New Roman"/>
        </w:rPr>
        <w:t>, 8, 208-213</w:t>
      </w:r>
      <w:r w:rsidRPr="005D5EEC">
        <w:rPr>
          <w:rFonts w:ascii="Times New Roman" w:hAnsi="Times New Roman" w:cs="Times New Roman"/>
        </w:rPr>
        <w:t>.</w:t>
      </w:r>
    </w:p>
    <w:sectPr w:rsidR="005F1089" w:rsidRPr="005D5EEC" w:rsidSect="0080207E">
      <w:headerReference w:type="default" r:id="rId4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02" w:rsidRDefault="00973C02" w:rsidP="008F0E7C">
      <w:pPr>
        <w:spacing w:after="0" w:line="240" w:lineRule="auto"/>
        <w:rPr>
          <w:rFonts w:cs="Times New Roman"/>
        </w:rPr>
      </w:pPr>
      <w:r>
        <w:rPr>
          <w:rFonts w:cs="Times New Roman"/>
        </w:rPr>
        <w:separator/>
      </w:r>
    </w:p>
  </w:endnote>
  <w:endnote w:type="continuationSeparator" w:id="0">
    <w:p w:rsidR="00973C02" w:rsidRDefault="00973C02" w:rsidP="008F0E7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02" w:rsidRDefault="00973C02" w:rsidP="008F0E7C">
      <w:pPr>
        <w:spacing w:after="0" w:line="240" w:lineRule="auto"/>
        <w:rPr>
          <w:rFonts w:cs="Times New Roman"/>
        </w:rPr>
      </w:pPr>
      <w:r>
        <w:rPr>
          <w:rFonts w:cs="Times New Roman"/>
        </w:rPr>
        <w:separator/>
      </w:r>
    </w:p>
  </w:footnote>
  <w:footnote w:type="continuationSeparator" w:id="0">
    <w:p w:rsidR="00973C02" w:rsidRDefault="00973C02" w:rsidP="008F0E7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D" w:rsidRPr="009C63A5" w:rsidRDefault="00607D6D" w:rsidP="00895DEF">
    <w:pPr>
      <w:pStyle w:val="Header"/>
      <w:tabs>
        <w:tab w:val="clear" w:pos="8504"/>
        <w:tab w:val="right" w:pos="9015"/>
      </w:tabs>
      <w:spacing w:after="0" w:line="200" w:lineRule="atLeast"/>
      <w:rPr>
        <w:rFonts w:ascii="Times New Roman" w:hAnsi="Times New Roman" w:cs="Times New Roman"/>
        <w:sz w:val="18"/>
        <w:szCs w:val="18"/>
      </w:rPr>
    </w:pPr>
    <w:r>
      <w:rPr>
        <w:rFonts w:ascii="Times New Roman" w:hAnsi="Times New Roman" w:cs="Times New Roman"/>
        <w:sz w:val="18"/>
        <w:szCs w:val="18"/>
      </w:rPr>
      <w:t>9</w:t>
    </w:r>
    <w:r w:rsidRPr="008F0E7C">
      <w:rPr>
        <w:rFonts w:ascii="Times New Roman" w:hAnsi="Times New Roman" w:cs="Times New Roman"/>
        <w:sz w:val="18"/>
        <w:szCs w:val="18"/>
        <w:vertAlign w:val="superscript"/>
      </w:rPr>
      <w:t>th</w:t>
    </w:r>
    <w:r>
      <w:rPr>
        <w:rFonts w:ascii="Times New Roman" w:hAnsi="Times New Roman" w:cs="Times New Roman"/>
        <w:sz w:val="18"/>
        <w:szCs w:val="18"/>
      </w:rPr>
      <w:t xml:space="preserve"> Asian Rock Mechanics </w:t>
    </w:r>
    <w:r w:rsidRPr="008F0E7C">
      <w:rPr>
        <w:rFonts w:ascii="Times New Roman" w:hAnsi="Times New Roman" w:cs="Times New Roman"/>
        <w:sz w:val="18"/>
        <w:szCs w:val="18"/>
      </w:rPr>
      <w:t>Symp</w:t>
    </w:r>
    <w:r>
      <w:rPr>
        <w:rFonts w:ascii="Times New Roman" w:hAnsi="Times New Roman" w:cs="Times New Roman"/>
        <w:sz w:val="18"/>
        <w:szCs w:val="18"/>
      </w:rPr>
      <w:t>osium</w:t>
    </w:r>
    <w:r w:rsidRPr="008F0E7C">
      <w:rPr>
        <w:rFonts w:ascii="Times New Roman" w:hAnsi="Times New Roman" w:cs="Times New Roman"/>
        <w:sz w:val="18"/>
        <w:szCs w:val="18"/>
      </w:rPr>
      <w:tab/>
    </w:r>
    <w:r w:rsidRPr="008F0E7C">
      <w:rPr>
        <w:rFonts w:ascii="Times New Roman" w:hAnsi="Times New Roman" w:cs="Times New Roman"/>
        <w:sz w:val="18"/>
        <w:szCs w:val="18"/>
      </w:rPr>
      <w:tab/>
    </w:r>
    <w:r>
      <w:rPr>
        <w:rFonts w:ascii="Times New Roman" w:hAnsi="Times New Roman" w:cs="Times New Roman"/>
        <w:sz w:val="18"/>
        <w:szCs w:val="18"/>
      </w:rPr>
      <w:t>ARMS9</w:t>
    </w:r>
  </w:p>
  <w:p w:rsidR="00607D6D" w:rsidRPr="00895DEF" w:rsidRDefault="00607D6D" w:rsidP="00895DEF">
    <w:pPr>
      <w:pStyle w:val="Header"/>
      <w:tabs>
        <w:tab w:val="clear" w:pos="8504"/>
        <w:tab w:val="right" w:pos="9015"/>
      </w:tabs>
      <w:spacing w:after="0" w:line="200" w:lineRule="atLeast"/>
      <w:rPr>
        <w:rFonts w:ascii="Times New Roman" w:hAnsi="Times New Roman" w:cs="Times New Roman"/>
        <w:sz w:val="18"/>
        <w:szCs w:val="18"/>
      </w:rPr>
    </w:pPr>
    <w:r w:rsidRPr="009C63A5">
      <w:rPr>
        <w:rFonts w:ascii="Times New Roman" w:hAnsi="Times New Roman" w:cs="Times New Roman"/>
        <w:sz w:val="18"/>
        <w:szCs w:val="18"/>
      </w:rPr>
      <w:tab/>
    </w:r>
    <w:r w:rsidRPr="009C63A5">
      <w:rPr>
        <w:rFonts w:ascii="Times New Roman" w:hAnsi="Times New Roman" w:cs="Times New Roman"/>
        <w:sz w:val="18"/>
        <w:szCs w:val="18"/>
      </w:rPr>
      <w:tab/>
    </w:r>
    <w:r>
      <w:rPr>
        <w:rFonts w:ascii="Times New Roman" w:hAnsi="Times New Roman" w:cs="Times New Roman"/>
        <w:sz w:val="18"/>
        <w:szCs w:val="18"/>
      </w:rPr>
      <w:t>18</w:t>
    </w:r>
    <w:r w:rsidRPr="009C63A5">
      <w:rPr>
        <w:rFonts w:ascii="Times New Roman" w:hAnsi="Times New Roman" w:cs="Times New Roman"/>
        <w:sz w:val="18"/>
        <w:szCs w:val="18"/>
      </w:rPr>
      <w:t>-</w:t>
    </w:r>
    <w:r>
      <w:rPr>
        <w:rFonts w:ascii="Times New Roman" w:hAnsi="Times New Roman" w:cs="Times New Roman"/>
        <w:sz w:val="18"/>
        <w:szCs w:val="18"/>
      </w:rPr>
      <w:t>20</w:t>
    </w:r>
    <w:r w:rsidRPr="009C63A5">
      <w:rPr>
        <w:rFonts w:ascii="Times New Roman" w:hAnsi="Times New Roman" w:cs="Times New Roman"/>
        <w:sz w:val="18"/>
        <w:szCs w:val="18"/>
      </w:rPr>
      <w:t xml:space="preserve"> </w:t>
    </w:r>
    <w:r>
      <w:rPr>
        <w:rFonts w:ascii="Times New Roman" w:hAnsi="Times New Roman" w:cs="Times New Roman"/>
        <w:sz w:val="18"/>
        <w:szCs w:val="18"/>
      </w:rPr>
      <w:t>October</w:t>
    </w:r>
    <w:r w:rsidRPr="009C63A5">
      <w:rPr>
        <w:rFonts w:ascii="Times New Roman" w:hAnsi="Times New Roman" w:cs="Times New Roman"/>
        <w:sz w:val="18"/>
        <w:szCs w:val="18"/>
      </w:rPr>
      <w:t xml:space="preserve"> 201</w:t>
    </w:r>
    <w:r>
      <w:rPr>
        <w:rFonts w:ascii="Times New Roman" w:hAnsi="Times New Roman" w:cs="Times New Roman"/>
        <w:sz w:val="18"/>
        <w:szCs w:val="18"/>
      </w:rPr>
      <w:t>6</w:t>
    </w:r>
    <w:r w:rsidRPr="009C63A5">
      <w:rPr>
        <w:rFonts w:ascii="Times New Roman" w:hAnsi="Times New Roman" w:cs="Times New Roman"/>
        <w:sz w:val="18"/>
        <w:szCs w:val="18"/>
      </w:rPr>
      <w:t xml:space="preserve">, </w:t>
    </w:r>
    <w:r>
      <w:rPr>
        <w:rFonts w:ascii="Times New Roman" w:hAnsi="Times New Roman" w:cs="Times New Roman"/>
        <w:sz w:val="18"/>
        <w:szCs w:val="18"/>
      </w:rPr>
      <w:t>Bali</w:t>
    </w:r>
    <w:r w:rsidRPr="009C63A5">
      <w:rPr>
        <w:rFonts w:ascii="Times New Roman" w:hAnsi="Times New Roman" w:cs="Times New Roman"/>
        <w:sz w:val="18"/>
        <w:szCs w:val="18"/>
      </w:rPr>
      <w:t xml:space="preserve">, </w:t>
    </w:r>
    <w:r>
      <w:rPr>
        <w:rFonts w:ascii="Times New Roman" w:hAnsi="Times New Roman" w:cs="Times New Roman"/>
        <w:sz w:val="18"/>
        <w:szCs w:val="18"/>
      </w:rPr>
      <w:t>Indonesia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D" w:rsidRPr="009C63A5" w:rsidRDefault="00607D6D" w:rsidP="009B6B25">
    <w:pPr>
      <w:pStyle w:val="Header"/>
      <w:tabs>
        <w:tab w:val="clear" w:pos="8504"/>
        <w:tab w:val="right" w:pos="9015"/>
      </w:tabs>
      <w:spacing w:after="0" w:line="200" w:lineRule="atLeast"/>
      <w:rPr>
        <w:rFonts w:ascii="Times New Roman" w:hAnsi="Times New Roman" w:cs="Times New Roman"/>
        <w:sz w:val="18"/>
        <w:szCs w:val="18"/>
      </w:rPr>
    </w:pPr>
    <w:r>
      <w:rPr>
        <w:rFonts w:ascii="Times New Roman" w:hAnsi="Times New Roman" w:cs="Times New Roman"/>
        <w:sz w:val="18"/>
        <w:szCs w:val="18"/>
      </w:rPr>
      <w:t>9</w:t>
    </w:r>
    <w:r w:rsidRPr="008F0E7C">
      <w:rPr>
        <w:rFonts w:ascii="Times New Roman" w:hAnsi="Times New Roman" w:cs="Times New Roman"/>
        <w:sz w:val="18"/>
        <w:szCs w:val="18"/>
        <w:vertAlign w:val="superscript"/>
      </w:rPr>
      <w:t>th</w:t>
    </w:r>
    <w:r>
      <w:rPr>
        <w:rFonts w:ascii="Times New Roman" w:hAnsi="Times New Roman" w:cs="Times New Roman"/>
        <w:sz w:val="18"/>
        <w:szCs w:val="18"/>
      </w:rPr>
      <w:t xml:space="preserve"> Asian Rock Mechanics </w:t>
    </w:r>
    <w:r w:rsidRPr="008F0E7C">
      <w:rPr>
        <w:rFonts w:ascii="Times New Roman" w:hAnsi="Times New Roman" w:cs="Times New Roman"/>
        <w:sz w:val="18"/>
        <w:szCs w:val="18"/>
      </w:rPr>
      <w:t>Symp</w:t>
    </w:r>
    <w:r>
      <w:rPr>
        <w:rFonts w:ascii="Times New Roman" w:hAnsi="Times New Roman" w:cs="Times New Roman"/>
        <w:sz w:val="18"/>
        <w:szCs w:val="18"/>
      </w:rPr>
      <w:t>osium</w:t>
    </w:r>
    <w:r w:rsidRPr="008F0E7C">
      <w:rPr>
        <w:rFonts w:ascii="Times New Roman" w:hAnsi="Times New Roman" w:cs="Times New Roman"/>
        <w:sz w:val="18"/>
        <w:szCs w:val="18"/>
      </w:rPr>
      <w:tab/>
    </w:r>
    <w:r w:rsidRPr="008F0E7C">
      <w:rPr>
        <w:rFonts w:ascii="Times New Roman" w:hAnsi="Times New Roman" w:cs="Times New Roman"/>
        <w:sz w:val="18"/>
        <w:szCs w:val="18"/>
      </w:rPr>
      <w:tab/>
    </w:r>
    <w:r>
      <w:rPr>
        <w:rFonts w:ascii="Times New Roman" w:hAnsi="Times New Roman" w:cs="Times New Roman"/>
        <w:sz w:val="18"/>
        <w:szCs w:val="18"/>
      </w:rPr>
      <w:t>ARMS9</w:t>
    </w:r>
  </w:p>
  <w:p w:rsidR="00607D6D" w:rsidRPr="009C63A5" w:rsidRDefault="00607D6D" w:rsidP="009B6B25">
    <w:pPr>
      <w:pStyle w:val="Header"/>
      <w:tabs>
        <w:tab w:val="clear" w:pos="8504"/>
        <w:tab w:val="right" w:pos="9015"/>
      </w:tabs>
      <w:spacing w:after="0" w:line="200" w:lineRule="atLeast"/>
      <w:rPr>
        <w:rFonts w:ascii="Times New Roman" w:hAnsi="Times New Roman" w:cs="Times New Roman"/>
        <w:sz w:val="18"/>
        <w:szCs w:val="18"/>
      </w:rPr>
    </w:pPr>
    <w:r w:rsidRPr="009C63A5">
      <w:rPr>
        <w:rFonts w:ascii="Times New Roman" w:hAnsi="Times New Roman" w:cs="Times New Roman"/>
        <w:sz w:val="18"/>
        <w:szCs w:val="18"/>
      </w:rPr>
      <w:tab/>
    </w:r>
    <w:r w:rsidRPr="009C63A5">
      <w:rPr>
        <w:rFonts w:ascii="Times New Roman" w:hAnsi="Times New Roman" w:cs="Times New Roman"/>
        <w:sz w:val="18"/>
        <w:szCs w:val="18"/>
      </w:rPr>
      <w:tab/>
    </w:r>
    <w:r>
      <w:rPr>
        <w:rFonts w:ascii="Times New Roman" w:hAnsi="Times New Roman" w:cs="Times New Roman"/>
        <w:sz w:val="18"/>
        <w:szCs w:val="18"/>
      </w:rPr>
      <w:t>18</w:t>
    </w:r>
    <w:r w:rsidRPr="009C63A5">
      <w:rPr>
        <w:rFonts w:ascii="Times New Roman" w:hAnsi="Times New Roman" w:cs="Times New Roman"/>
        <w:sz w:val="18"/>
        <w:szCs w:val="18"/>
      </w:rPr>
      <w:t>-</w:t>
    </w:r>
    <w:r>
      <w:rPr>
        <w:rFonts w:ascii="Times New Roman" w:hAnsi="Times New Roman" w:cs="Times New Roman"/>
        <w:sz w:val="18"/>
        <w:szCs w:val="18"/>
      </w:rPr>
      <w:t>20</w:t>
    </w:r>
    <w:r w:rsidRPr="009C63A5">
      <w:rPr>
        <w:rFonts w:ascii="Times New Roman" w:hAnsi="Times New Roman" w:cs="Times New Roman"/>
        <w:sz w:val="18"/>
        <w:szCs w:val="18"/>
      </w:rPr>
      <w:t xml:space="preserve"> </w:t>
    </w:r>
    <w:r>
      <w:rPr>
        <w:rFonts w:ascii="Times New Roman" w:hAnsi="Times New Roman" w:cs="Times New Roman"/>
        <w:sz w:val="18"/>
        <w:szCs w:val="18"/>
      </w:rPr>
      <w:t>October</w:t>
    </w:r>
    <w:r w:rsidRPr="009C63A5">
      <w:rPr>
        <w:rFonts w:ascii="Times New Roman" w:hAnsi="Times New Roman" w:cs="Times New Roman"/>
        <w:sz w:val="18"/>
        <w:szCs w:val="18"/>
      </w:rPr>
      <w:t xml:space="preserve"> 201</w:t>
    </w:r>
    <w:r>
      <w:rPr>
        <w:rFonts w:ascii="Times New Roman" w:hAnsi="Times New Roman" w:cs="Times New Roman"/>
        <w:sz w:val="18"/>
        <w:szCs w:val="18"/>
      </w:rPr>
      <w:t>6</w:t>
    </w:r>
    <w:r w:rsidRPr="009C63A5">
      <w:rPr>
        <w:rFonts w:ascii="Times New Roman" w:hAnsi="Times New Roman" w:cs="Times New Roman"/>
        <w:sz w:val="18"/>
        <w:szCs w:val="18"/>
      </w:rPr>
      <w:t xml:space="preserve">, </w:t>
    </w:r>
    <w:r>
      <w:rPr>
        <w:rFonts w:ascii="Times New Roman" w:hAnsi="Times New Roman" w:cs="Times New Roman"/>
        <w:sz w:val="18"/>
        <w:szCs w:val="18"/>
      </w:rPr>
      <w:t>Bali</w:t>
    </w:r>
    <w:r w:rsidRPr="009C63A5">
      <w:rPr>
        <w:rFonts w:ascii="Times New Roman" w:hAnsi="Times New Roman" w:cs="Times New Roman"/>
        <w:sz w:val="18"/>
        <w:szCs w:val="18"/>
      </w:rPr>
      <w:t xml:space="preserve">, </w:t>
    </w:r>
    <w:r>
      <w:rPr>
        <w:rFonts w:ascii="Times New Roman" w:hAnsi="Times New Roman" w:cs="Times New Roman"/>
        <w:sz w:val="18"/>
        <w:szCs w:val="18"/>
      </w:rPr>
      <w:t>Indonesia</w:t>
    </w:r>
  </w:p>
  <w:p w:rsidR="00607D6D" w:rsidRPr="009C63A5" w:rsidRDefault="00607D6D" w:rsidP="00030B12">
    <w:pPr>
      <w:pStyle w:val="Header"/>
      <w:spacing w:after="0" w:line="200" w:lineRule="atLeas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08DA16"/>
    <w:lvl w:ilvl="0">
      <w:start w:val="1"/>
      <w:numFmt w:val="decimal"/>
      <w:lvlText w:val="%1."/>
      <w:lvlJc w:val="left"/>
      <w:pPr>
        <w:tabs>
          <w:tab w:val="num" w:pos="2061"/>
        </w:tabs>
        <w:ind w:left="2061" w:hanging="360"/>
      </w:pPr>
    </w:lvl>
  </w:abstractNum>
  <w:abstractNum w:abstractNumId="1">
    <w:nsid w:val="FFFFFF7D"/>
    <w:multiLevelType w:val="singleLevel"/>
    <w:tmpl w:val="A34292B0"/>
    <w:lvl w:ilvl="0">
      <w:start w:val="1"/>
      <w:numFmt w:val="decimal"/>
      <w:lvlText w:val="%1."/>
      <w:lvlJc w:val="left"/>
      <w:pPr>
        <w:tabs>
          <w:tab w:val="num" w:pos="1636"/>
        </w:tabs>
        <w:ind w:left="1636" w:hanging="360"/>
      </w:pPr>
    </w:lvl>
  </w:abstractNum>
  <w:abstractNum w:abstractNumId="2">
    <w:nsid w:val="FFFFFF7E"/>
    <w:multiLevelType w:val="singleLevel"/>
    <w:tmpl w:val="3E8CF76C"/>
    <w:lvl w:ilvl="0">
      <w:start w:val="1"/>
      <w:numFmt w:val="decimal"/>
      <w:lvlText w:val="%1."/>
      <w:lvlJc w:val="left"/>
      <w:pPr>
        <w:tabs>
          <w:tab w:val="num" w:pos="1211"/>
        </w:tabs>
        <w:ind w:left="1211" w:hanging="360"/>
      </w:pPr>
    </w:lvl>
  </w:abstractNum>
  <w:abstractNum w:abstractNumId="3">
    <w:nsid w:val="FFFFFF7F"/>
    <w:multiLevelType w:val="singleLevel"/>
    <w:tmpl w:val="BBEE238C"/>
    <w:lvl w:ilvl="0">
      <w:start w:val="1"/>
      <w:numFmt w:val="decimal"/>
      <w:lvlText w:val="%1."/>
      <w:lvlJc w:val="left"/>
      <w:pPr>
        <w:tabs>
          <w:tab w:val="num" w:pos="785"/>
        </w:tabs>
        <w:ind w:left="785" w:hanging="360"/>
      </w:pPr>
    </w:lvl>
  </w:abstractNum>
  <w:abstractNum w:abstractNumId="4">
    <w:nsid w:val="FFFFFF80"/>
    <w:multiLevelType w:val="singleLevel"/>
    <w:tmpl w:val="F8546C0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E221E2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B0AAFB72"/>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7188F856"/>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8DD80A98"/>
    <w:lvl w:ilvl="0">
      <w:start w:val="1"/>
      <w:numFmt w:val="decimal"/>
      <w:lvlText w:val="%1."/>
      <w:lvlJc w:val="left"/>
      <w:pPr>
        <w:tabs>
          <w:tab w:val="num" w:pos="360"/>
        </w:tabs>
        <w:ind w:left="360" w:hanging="360"/>
      </w:pPr>
    </w:lvl>
  </w:abstractNum>
  <w:abstractNum w:abstractNumId="9">
    <w:nsid w:val="FFFFFF89"/>
    <w:multiLevelType w:val="singleLevel"/>
    <w:tmpl w:val="24F4215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6D47EC9"/>
    <w:multiLevelType w:val="hybridMultilevel"/>
    <w:tmpl w:val="3A3A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273CD"/>
    <w:multiLevelType w:val="hybridMultilevel"/>
    <w:tmpl w:val="8DA8FDD2"/>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2">
    <w:nsid w:val="1C872803"/>
    <w:multiLevelType w:val="hybridMultilevel"/>
    <w:tmpl w:val="69FC873A"/>
    <w:lvl w:ilvl="0" w:tplc="0409000F">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3">
    <w:nsid w:val="46FF57E5"/>
    <w:multiLevelType w:val="hybridMultilevel"/>
    <w:tmpl w:val="6C14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F289E"/>
    <w:multiLevelType w:val="multilevel"/>
    <w:tmpl w:val="E3CC87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8B96B42"/>
    <w:multiLevelType w:val="hybridMultilevel"/>
    <w:tmpl w:val="69FC873A"/>
    <w:lvl w:ilvl="0" w:tplc="0409000F">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6">
    <w:nsid w:val="65AF4A09"/>
    <w:multiLevelType w:val="hybridMultilevel"/>
    <w:tmpl w:val="E62825C0"/>
    <w:lvl w:ilvl="0" w:tplc="8D52ED10">
      <w:start w:val="1"/>
      <w:numFmt w:val="decimal"/>
      <w:lvlText w:val="%1."/>
      <w:lvlJc w:val="left"/>
      <w:pPr>
        <w:tabs>
          <w:tab w:val="num" w:pos="1009"/>
        </w:tabs>
        <w:ind w:left="1009" w:hanging="720"/>
      </w:pPr>
      <w:rPr>
        <w:rFonts w:ascii="Times New Roman" w:eastAsia="Times New Roman" w:hAnsi="Times New Roman"/>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17">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0"/>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3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3"/>
    <w:rsid w:val="000000D8"/>
    <w:rsid w:val="00002686"/>
    <w:rsid w:val="000058C1"/>
    <w:rsid w:val="00010962"/>
    <w:rsid w:val="00012AF3"/>
    <w:rsid w:val="00016B0F"/>
    <w:rsid w:val="00021100"/>
    <w:rsid w:val="00025BE6"/>
    <w:rsid w:val="00026777"/>
    <w:rsid w:val="00030B12"/>
    <w:rsid w:val="000311FC"/>
    <w:rsid w:val="00033C37"/>
    <w:rsid w:val="00046D93"/>
    <w:rsid w:val="00050937"/>
    <w:rsid w:val="00057A19"/>
    <w:rsid w:val="00073DD0"/>
    <w:rsid w:val="00076E02"/>
    <w:rsid w:val="0008056B"/>
    <w:rsid w:val="00095538"/>
    <w:rsid w:val="000A1A64"/>
    <w:rsid w:val="000B76D8"/>
    <w:rsid w:val="000C1326"/>
    <w:rsid w:val="000C49DC"/>
    <w:rsid w:val="000D0B36"/>
    <w:rsid w:val="000D4F90"/>
    <w:rsid w:val="000E1966"/>
    <w:rsid w:val="000E226C"/>
    <w:rsid w:val="000E2D94"/>
    <w:rsid w:val="000E3B31"/>
    <w:rsid w:val="000E6E1E"/>
    <w:rsid w:val="00106E43"/>
    <w:rsid w:val="00107105"/>
    <w:rsid w:val="00112DBD"/>
    <w:rsid w:val="00131A06"/>
    <w:rsid w:val="001471DC"/>
    <w:rsid w:val="00156EDD"/>
    <w:rsid w:val="00167B7E"/>
    <w:rsid w:val="00170D15"/>
    <w:rsid w:val="00174AAE"/>
    <w:rsid w:val="00175244"/>
    <w:rsid w:val="00175831"/>
    <w:rsid w:val="00175C32"/>
    <w:rsid w:val="00182B84"/>
    <w:rsid w:val="00183657"/>
    <w:rsid w:val="00185C55"/>
    <w:rsid w:val="0018719B"/>
    <w:rsid w:val="0019315B"/>
    <w:rsid w:val="00194C7F"/>
    <w:rsid w:val="001A7C17"/>
    <w:rsid w:val="001C52EA"/>
    <w:rsid w:val="001C62C3"/>
    <w:rsid w:val="001D433F"/>
    <w:rsid w:val="001D7590"/>
    <w:rsid w:val="001E163C"/>
    <w:rsid w:val="001E3692"/>
    <w:rsid w:val="001E4A15"/>
    <w:rsid w:val="001E50E8"/>
    <w:rsid w:val="001E555F"/>
    <w:rsid w:val="00213136"/>
    <w:rsid w:val="00222DCC"/>
    <w:rsid w:val="00231F0A"/>
    <w:rsid w:val="002377E0"/>
    <w:rsid w:val="002411BC"/>
    <w:rsid w:val="00243FF0"/>
    <w:rsid w:val="00247BB7"/>
    <w:rsid w:val="002539CF"/>
    <w:rsid w:val="0026150B"/>
    <w:rsid w:val="002764FA"/>
    <w:rsid w:val="0029515C"/>
    <w:rsid w:val="002B1AA2"/>
    <w:rsid w:val="002C03E3"/>
    <w:rsid w:val="002C422D"/>
    <w:rsid w:val="002D0E10"/>
    <w:rsid w:val="002D52A7"/>
    <w:rsid w:val="002E7837"/>
    <w:rsid w:val="003068D1"/>
    <w:rsid w:val="00327B77"/>
    <w:rsid w:val="00330708"/>
    <w:rsid w:val="00336D52"/>
    <w:rsid w:val="003506D0"/>
    <w:rsid w:val="00356E73"/>
    <w:rsid w:val="00357CD5"/>
    <w:rsid w:val="003B0BC2"/>
    <w:rsid w:val="003C5FDC"/>
    <w:rsid w:val="003E770D"/>
    <w:rsid w:val="00400B27"/>
    <w:rsid w:val="00403231"/>
    <w:rsid w:val="00423AEE"/>
    <w:rsid w:val="00425BAA"/>
    <w:rsid w:val="00426FCE"/>
    <w:rsid w:val="004273E0"/>
    <w:rsid w:val="004337F2"/>
    <w:rsid w:val="00440410"/>
    <w:rsid w:val="00446CD4"/>
    <w:rsid w:val="004601E5"/>
    <w:rsid w:val="00461A22"/>
    <w:rsid w:val="0047107C"/>
    <w:rsid w:val="00485248"/>
    <w:rsid w:val="004906FB"/>
    <w:rsid w:val="00496A2B"/>
    <w:rsid w:val="004A1142"/>
    <w:rsid w:val="004B22CA"/>
    <w:rsid w:val="004B3A68"/>
    <w:rsid w:val="004D0FD4"/>
    <w:rsid w:val="004E5338"/>
    <w:rsid w:val="004F062B"/>
    <w:rsid w:val="00501BE4"/>
    <w:rsid w:val="0051010F"/>
    <w:rsid w:val="00512431"/>
    <w:rsid w:val="00515D24"/>
    <w:rsid w:val="0052077A"/>
    <w:rsid w:val="00522938"/>
    <w:rsid w:val="00526371"/>
    <w:rsid w:val="00527F48"/>
    <w:rsid w:val="005319B3"/>
    <w:rsid w:val="00532FCE"/>
    <w:rsid w:val="00540B4A"/>
    <w:rsid w:val="00542706"/>
    <w:rsid w:val="0054655A"/>
    <w:rsid w:val="00562BB0"/>
    <w:rsid w:val="00566088"/>
    <w:rsid w:val="00580663"/>
    <w:rsid w:val="005854CB"/>
    <w:rsid w:val="00593B08"/>
    <w:rsid w:val="00595760"/>
    <w:rsid w:val="0059597B"/>
    <w:rsid w:val="00596075"/>
    <w:rsid w:val="005D5EEC"/>
    <w:rsid w:val="005F1089"/>
    <w:rsid w:val="00600689"/>
    <w:rsid w:val="00600BEC"/>
    <w:rsid w:val="006048BC"/>
    <w:rsid w:val="00607D6D"/>
    <w:rsid w:val="0061172D"/>
    <w:rsid w:val="00613CC1"/>
    <w:rsid w:val="00641D6F"/>
    <w:rsid w:val="00655716"/>
    <w:rsid w:val="00661D0E"/>
    <w:rsid w:val="00662F0B"/>
    <w:rsid w:val="0066456F"/>
    <w:rsid w:val="00667086"/>
    <w:rsid w:val="0067325D"/>
    <w:rsid w:val="00674FB7"/>
    <w:rsid w:val="006755D6"/>
    <w:rsid w:val="006925F5"/>
    <w:rsid w:val="00692BCD"/>
    <w:rsid w:val="006A099C"/>
    <w:rsid w:val="006A37B1"/>
    <w:rsid w:val="006B3C6A"/>
    <w:rsid w:val="006C348F"/>
    <w:rsid w:val="006D0CC7"/>
    <w:rsid w:val="006D3AB6"/>
    <w:rsid w:val="006E0875"/>
    <w:rsid w:val="006E2F85"/>
    <w:rsid w:val="006F5458"/>
    <w:rsid w:val="00703666"/>
    <w:rsid w:val="00714AF0"/>
    <w:rsid w:val="00720039"/>
    <w:rsid w:val="00721404"/>
    <w:rsid w:val="007312E5"/>
    <w:rsid w:val="00731B6A"/>
    <w:rsid w:val="00736729"/>
    <w:rsid w:val="00756E38"/>
    <w:rsid w:val="00777314"/>
    <w:rsid w:val="00790D03"/>
    <w:rsid w:val="00795179"/>
    <w:rsid w:val="007A2171"/>
    <w:rsid w:val="007A29A8"/>
    <w:rsid w:val="007A611D"/>
    <w:rsid w:val="007A6BE1"/>
    <w:rsid w:val="007A7505"/>
    <w:rsid w:val="007C3267"/>
    <w:rsid w:val="007D6528"/>
    <w:rsid w:val="007E2AB2"/>
    <w:rsid w:val="007E6B80"/>
    <w:rsid w:val="007F3F9B"/>
    <w:rsid w:val="00800CC8"/>
    <w:rsid w:val="0080207E"/>
    <w:rsid w:val="00807F6B"/>
    <w:rsid w:val="008122E6"/>
    <w:rsid w:val="008210D9"/>
    <w:rsid w:val="008212A1"/>
    <w:rsid w:val="00823894"/>
    <w:rsid w:val="00824B86"/>
    <w:rsid w:val="0083714D"/>
    <w:rsid w:val="0084083B"/>
    <w:rsid w:val="0084331E"/>
    <w:rsid w:val="00843C8A"/>
    <w:rsid w:val="008633FC"/>
    <w:rsid w:val="00877F65"/>
    <w:rsid w:val="00895DEF"/>
    <w:rsid w:val="008A36CD"/>
    <w:rsid w:val="008A5452"/>
    <w:rsid w:val="008B4E34"/>
    <w:rsid w:val="008B51B7"/>
    <w:rsid w:val="008C05AC"/>
    <w:rsid w:val="008D3F36"/>
    <w:rsid w:val="008E2BF9"/>
    <w:rsid w:val="008E2EEB"/>
    <w:rsid w:val="008E59B1"/>
    <w:rsid w:val="008E5C0E"/>
    <w:rsid w:val="008F0E7C"/>
    <w:rsid w:val="008F12B4"/>
    <w:rsid w:val="008F2059"/>
    <w:rsid w:val="008F7383"/>
    <w:rsid w:val="008F7EC1"/>
    <w:rsid w:val="00905DFE"/>
    <w:rsid w:val="00906E0F"/>
    <w:rsid w:val="009123A4"/>
    <w:rsid w:val="00916C84"/>
    <w:rsid w:val="00921C53"/>
    <w:rsid w:val="00924ED5"/>
    <w:rsid w:val="00932EEF"/>
    <w:rsid w:val="0094183A"/>
    <w:rsid w:val="009668B7"/>
    <w:rsid w:val="00973C02"/>
    <w:rsid w:val="0097693F"/>
    <w:rsid w:val="009817BF"/>
    <w:rsid w:val="00984984"/>
    <w:rsid w:val="00986841"/>
    <w:rsid w:val="0098722D"/>
    <w:rsid w:val="00991B67"/>
    <w:rsid w:val="00991FE7"/>
    <w:rsid w:val="00993A4E"/>
    <w:rsid w:val="00996352"/>
    <w:rsid w:val="0099798F"/>
    <w:rsid w:val="009A2ECF"/>
    <w:rsid w:val="009B2A43"/>
    <w:rsid w:val="009B6B25"/>
    <w:rsid w:val="009C173E"/>
    <w:rsid w:val="009C3571"/>
    <w:rsid w:val="009C63A5"/>
    <w:rsid w:val="009C6503"/>
    <w:rsid w:val="009D1962"/>
    <w:rsid w:val="009D7F32"/>
    <w:rsid w:val="009E0DC3"/>
    <w:rsid w:val="009E136A"/>
    <w:rsid w:val="009E3735"/>
    <w:rsid w:val="00A11F13"/>
    <w:rsid w:val="00A13843"/>
    <w:rsid w:val="00A17461"/>
    <w:rsid w:val="00A26EEB"/>
    <w:rsid w:val="00A27751"/>
    <w:rsid w:val="00A548E1"/>
    <w:rsid w:val="00A56A4E"/>
    <w:rsid w:val="00A7566F"/>
    <w:rsid w:val="00A8408C"/>
    <w:rsid w:val="00A96B66"/>
    <w:rsid w:val="00AA5802"/>
    <w:rsid w:val="00B0061F"/>
    <w:rsid w:val="00B210D6"/>
    <w:rsid w:val="00B2306D"/>
    <w:rsid w:val="00B27CED"/>
    <w:rsid w:val="00B6261C"/>
    <w:rsid w:val="00B634F2"/>
    <w:rsid w:val="00B67BFB"/>
    <w:rsid w:val="00B7075D"/>
    <w:rsid w:val="00B76397"/>
    <w:rsid w:val="00B77D63"/>
    <w:rsid w:val="00B82569"/>
    <w:rsid w:val="00B833DA"/>
    <w:rsid w:val="00B85C16"/>
    <w:rsid w:val="00B86A1F"/>
    <w:rsid w:val="00B87D9F"/>
    <w:rsid w:val="00B953D4"/>
    <w:rsid w:val="00B95ED6"/>
    <w:rsid w:val="00BA6B83"/>
    <w:rsid w:val="00BB15C5"/>
    <w:rsid w:val="00BB6191"/>
    <w:rsid w:val="00BC18C6"/>
    <w:rsid w:val="00BC3902"/>
    <w:rsid w:val="00BC4E65"/>
    <w:rsid w:val="00BE2B18"/>
    <w:rsid w:val="00BE4A4F"/>
    <w:rsid w:val="00BE67BE"/>
    <w:rsid w:val="00BF6F12"/>
    <w:rsid w:val="00C11DE1"/>
    <w:rsid w:val="00C215DC"/>
    <w:rsid w:val="00C22B4B"/>
    <w:rsid w:val="00C24494"/>
    <w:rsid w:val="00C27945"/>
    <w:rsid w:val="00C35BFB"/>
    <w:rsid w:val="00C43833"/>
    <w:rsid w:val="00C46B2A"/>
    <w:rsid w:val="00C56668"/>
    <w:rsid w:val="00C63613"/>
    <w:rsid w:val="00C66CF2"/>
    <w:rsid w:val="00C66D07"/>
    <w:rsid w:val="00C86145"/>
    <w:rsid w:val="00C940FD"/>
    <w:rsid w:val="00C94A99"/>
    <w:rsid w:val="00C94CB8"/>
    <w:rsid w:val="00CA37B9"/>
    <w:rsid w:val="00CA50C6"/>
    <w:rsid w:val="00CA5935"/>
    <w:rsid w:val="00CC726E"/>
    <w:rsid w:val="00CD61E7"/>
    <w:rsid w:val="00CD7E93"/>
    <w:rsid w:val="00D20949"/>
    <w:rsid w:val="00D20A29"/>
    <w:rsid w:val="00D25FCC"/>
    <w:rsid w:val="00D34922"/>
    <w:rsid w:val="00D41F26"/>
    <w:rsid w:val="00D446EB"/>
    <w:rsid w:val="00D46D21"/>
    <w:rsid w:val="00D529BE"/>
    <w:rsid w:val="00D563FB"/>
    <w:rsid w:val="00D65806"/>
    <w:rsid w:val="00D80398"/>
    <w:rsid w:val="00D91720"/>
    <w:rsid w:val="00D91CCD"/>
    <w:rsid w:val="00D97512"/>
    <w:rsid w:val="00DA30E9"/>
    <w:rsid w:val="00DA5042"/>
    <w:rsid w:val="00DC65C7"/>
    <w:rsid w:val="00DE227F"/>
    <w:rsid w:val="00DE728E"/>
    <w:rsid w:val="00E11ABF"/>
    <w:rsid w:val="00E1562D"/>
    <w:rsid w:val="00E32EE2"/>
    <w:rsid w:val="00E33379"/>
    <w:rsid w:val="00E369FF"/>
    <w:rsid w:val="00E50BC1"/>
    <w:rsid w:val="00E55BB3"/>
    <w:rsid w:val="00E55C80"/>
    <w:rsid w:val="00E77CF1"/>
    <w:rsid w:val="00E8348B"/>
    <w:rsid w:val="00E84F72"/>
    <w:rsid w:val="00E951FD"/>
    <w:rsid w:val="00E95C23"/>
    <w:rsid w:val="00EA2DDA"/>
    <w:rsid w:val="00EB060F"/>
    <w:rsid w:val="00EB527D"/>
    <w:rsid w:val="00EB5439"/>
    <w:rsid w:val="00EC1473"/>
    <w:rsid w:val="00EC1AEA"/>
    <w:rsid w:val="00EC7EB1"/>
    <w:rsid w:val="00EF47F7"/>
    <w:rsid w:val="00F00996"/>
    <w:rsid w:val="00F11586"/>
    <w:rsid w:val="00F271D7"/>
    <w:rsid w:val="00F4701A"/>
    <w:rsid w:val="00F55E55"/>
    <w:rsid w:val="00F83B0A"/>
    <w:rsid w:val="00F9202D"/>
    <w:rsid w:val="00F942E9"/>
    <w:rsid w:val="00F94A72"/>
    <w:rsid w:val="00FA2181"/>
    <w:rsid w:val="00FA3609"/>
    <w:rsid w:val="00FB1FCC"/>
    <w:rsid w:val="00FD0AE5"/>
    <w:rsid w:val="00FD2A7F"/>
    <w:rsid w:val="00FE2B21"/>
    <w:rsid w:val="00FE4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7C"/>
    <w:pPr>
      <w:spacing w:after="200" w:line="276" w:lineRule="auto"/>
    </w:pPr>
    <w:rPr>
      <w:rFonts w:ascii="Calibri"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E7C"/>
    <w:pPr>
      <w:tabs>
        <w:tab w:val="center" w:pos="4252"/>
        <w:tab w:val="right" w:pos="8504"/>
      </w:tabs>
      <w:snapToGrid w:val="0"/>
    </w:pPr>
  </w:style>
  <w:style w:type="character" w:customStyle="1" w:styleId="HeaderChar">
    <w:name w:val="Header Char"/>
    <w:basedOn w:val="DefaultParagraphFont"/>
    <w:link w:val="Header"/>
    <w:uiPriority w:val="99"/>
    <w:rsid w:val="008F0E7C"/>
  </w:style>
  <w:style w:type="paragraph" w:styleId="Footer">
    <w:name w:val="footer"/>
    <w:basedOn w:val="Normal"/>
    <w:link w:val="FooterChar"/>
    <w:uiPriority w:val="99"/>
    <w:rsid w:val="008F0E7C"/>
    <w:pPr>
      <w:tabs>
        <w:tab w:val="center" w:pos="4252"/>
        <w:tab w:val="right" w:pos="8504"/>
      </w:tabs>
      <w:snapToGrid w:val="0"/>
    </w:pPr>
  </w:style>
  <w:style w:type="character" w:customStyle="1" w:styleId="FooterChar">
    <w:name w:val="Footer Char"/>
    <w:basedOn w:val="DefaultParagraphFont"/>
    <w:link w:val="Footer"/>
    <w:uiPriority w:val="99"/>
    <w:rsid w:val="008F0E7C"/>
  </w:style>
  <w:style w:type="character" w:styleId="Hyperlink">
    <w:name w:val="Hyperlink"/>
    <w:uiPriority w:val="99"/>
    <w:rsid w:val="008F0E7C"/>
    <w:rPr>
      <w:color w:val="0000FF"/>
      <w:u w:val="single"/>
    </w:rPr>
  </w:style>
  <w:style w:type="paragraph" w:styleId="Caption">
    <w:name w:val="caption"/>
    <w:basedOn w:val="Normal"/>
    <w:next w:val="Normal"/>
    <w:uiPriority w:val="99"/>
    <w:qFormat/>
    <w:rsid w:val="008F0E7C"/>
    <w:pPr>
      <w:spacing w:line="240" w:lineRule="auto"/>
    </w:pPr>
    <w:rPr>
      <w:b/>
      <w:bCs/>
      <w:color w:val="4F81BD"/>
      <w:sz w:val="18"/>
      <w:szCs w:val="18"/>
    </w:rPr>
  </w:style>
  <w:style w:type="paragraph" w:styleId="NormalWeb">
    <w:name w:val="Normal (Web)"/>
    <w:basedOn w:val="Normal"/>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Normal"/>
    <w:next w:val="Normal"/>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ListParagraph">
    <w:name w:val="List Paragraph"/>
    <w:basedOn w:val="Normal"/>
    <w:uiPriority w:val="34"/>
    <w:qFormat/>
    <w:rsid w:val="008F0E7C"/>
    <w:pPr>
      <w:ind w:leftChars="400" w:left="800"/>
    </w:pPr>
  </w:style>
  <w:style w:type="paragraph" w:styleId="BalloonText">
    <w:name w:val="Balloon Text"/>
    <w:basedOn w:val="Normal"/>
    <w:link w:val="BalloonTextChar"/>
    <w:uiPriority w:val="99"/>
    <w:semiHidden/>
    <w:rsid w:val="008F0E7C"/>
    <w:pPr>
      <w:spacing w:after="0" w:line="240" w:lineRule="auto"/>
    </w:pPr>
    <w:rPr>
      <w:rFonts w:ascii="Arial" w:eastAsia="MS Gothic" w:hAnsi="Arial" w:cs="Arial"/>
      <w:sz w:val="18"/>
      <w:szCs w:val="18"/>
    </w:rPr>
  </w:style>
  <w:style w:type="character" w:customStyle="1" w:styleId="BalloonTextChar">
    <w:name w:val="Balloon Text Char"/>
    <w:link w:val="BalloonText"/>
    <w:uiPriority w:val="99"/>
    <w:semiHidden/>
    <w:rsid w:val="008F0E7C"/>
    <w:rPr>
      <w:rFonts w:ascii="Arial" w:eastAsia="MS Gothic" w:hAnsi="Arial" w:cs="Arial"/>
      <w:noProof/>
      <w:kern w:val="0"/>
      <w:sz w:val="18"/>
      <w:szCs w:val="18"/>
      <w:lang w:eastAsia="en-US"/>
    </w:rPr>
  </w:style>
  <w:style w:type="paragraph" w:customStyle="1" w:styleId="Referencetext">
    <w:name w:val="Reference text"/>
    <w:basedOn w:val="Normal"/>
    <w:rsid w:val="00106E43"/>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eastAsia="id-ID"/>
    </w:rPr>
  </w:style>
  <w:style w:type="paragraph" w:customStyle="1" w:styleId="Default">
    <w:name w:val="Default"/>
    <w:rsid w:val="002D52A7"/>
    <w:pPr>
      <w:autoSpaceDE w:val="0"/>
      <w:autoSpaceDN w:val="0"/>
      <w:adjustRightInd w:val="0"/>
    </w:pPr>
    <w:rPr>
      <w:rFonts w:ascii="Verdana" w:eastAsiaTheme="minorHAnsi" w:hAnsi="Verdana" w:cs="Verdana"/>
      <w:color w:val="000000"/>
      <w:sz w:val="24"/>
      <w:szCs w:val="24"/>
    </w:rPr>
  </w:style>
  <w:style w:type="paragraph" w:styleId="BodyText">
    <w:name w:val="Body Text"/>
    <w:basedOn w:val="Normal"/>
    <w:link w:val="BodyTextChar"/>
    <w:semiHidden/>
    <w:rsid w:val="00E95C23"/>
    <w:pPr>
      <w:spacing w:after="0" w:line="240" w:lineRule="auto"/>
      <w:jc w:val="lowKashida"/>
    </w:pPr>
    <w:rPr>
      <w:rFonts w:ascii="Times New Roman" w:eastAsia="Times New Roman" w:hAnsi="Times New Roman" w:cs="Traditional Arabic"/>
      <w:sz w:val="24"/>
      <w:szCs w:val="28"/>
      <w:lang w:eastAsia="en-US"/>
    </w:rPr>
  </w:style>
  <w:style w:type="character" w:customStyle="1" w:styleId="BodyTextChar">
    <w:name w:val="Body Text Char"/>
    <w:basedOn w:val="DefaultParagraphFont"/>
    <w:link w:val="BodyText"/>
    <w:semiHidden/>
    <w:rsid w:val="00E95C23"/>
    <w:rPr>
      <w:rFonts w:ascii="Times New Roman" w:eastAsia="Times New Roman" w:hAnsi="Times New Roman" w:cs="Traditional Arabic"/>
      <w:sz w:val="24"/>
      <w:szCs w:val="28"/>
    </w:rPr>
  </w:style>
  <w:style w:type="table" w:styleId="TableGrid">
    <w:name w:val="Table Grid"/>
    <w:basedOn w:val="TableNormal"/>
    <w:uiPriority w:val="59"/>
    <w:rsid w:val="00D20A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7C"/>
    <w:pPr>
      <w:spacing w:after="200" w:line="276" w:lineRule="auto"/>
    </w:pPr>
    <w:rPr>
      <w:rFonts w:ascii="Calibri" w:hAnsi="Calibri"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E7C"/>
    <w:pPr>
      <w:tabs>
        <w:tab w:val="center" w:pos="4252"/>
        <w:tab w:val="right" w:pos="8504"/>
      </w:tabs>
      <w:snapToGrid w:val="0"/>
    </w:pPr>
  </w:style>
  <w:style w:type="character" w:customStyle="1" w:styleId="HeaderChar">
    <w:name w:val="Header Char"/>
    <w:basedOn w:val="DefaultParagraphFont"/>
    <w:link w:val="Header"/>
    <w:uiPriority w:val="99"/>
    <w:rsid w:val="008F0E7C"/>
  </w:style>
  <w:style w:type="paragraph" w:styleId="Footer">
    <w:name w:val="footer"/>
    <w:basedOn w:val="Normal"/>
    <w:link w:val="FooterChar"/>
    <w:uiPriority w:val="99"/>
    <w:rsid w:val="008F0E7C"/>
    <w:pPr>
      <w:tabs>
        <w:tab w:val="center" w:pos="4252"/>
        <w:tab w:val="right" w:pos="8504"/>
      </w:tabs>
      <w:snapToGrid w:val="0"/>
    </w:pPr>
  </w:style>
  <w:style w:type="character" w:customStyle="1" w:styleId="FooterChar">
    <w:name w:val="Footer Char"/>
    <w:basedOn w:val="DefaultParagraphFont"/>
    <w:link w:val="Footer"/>
    <w:uiPriority w:val="99"/>
    <w:rsid w:val="008F0E7C"/>
  </w:style>
  <w:style w:type="character" w:styleId="Hyperlink">
    <w:name w:val="Hyperlink"/>
    <w:uiPriority w:val="99"/>
    <w:rsid w:val="008F0E7C"/>
    <w:rPr>
      <w:color w:val="0000FF"/>
      <w:u w:val="single"/>
    </w:rPr>
  </w:style>
  <w:style w:type="paragraph" w:styleId="Caption">
    <w:name w:val="caption"/>
    <w:basedOn w:val="Normal"/>
    <w:next w:val="Normal"/>
    <w:uiPriority w:val="99"/>
    <w:qFormat/>
    <w:rsid w:val="008F0E7C"/>
    <w:pPr>
      <w:spacing w:line="240" w:lineRule="auto"/>
    </w:pPr>
    <w:rPr>
      <w:b/>
      <w:bCs/>
      <w:color w:val="4F81BD"/>
      <w:sz w:val="18"/>
      <w:szCs w:val="18"/>
    </w:rPr>
  </w:style>
  <w:style w:type="paragraph" w:styleId="NormalWeb">
    <w:name w:val="Normal (Web)"/>
    <w:basedOn w:val="Normal"/>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Normal"/>
    <w:next w:val="Normal"/>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ListParagraph">
    <w:name w:val="List Paragraph"/>
    <w:basedOn w:val="Normal"/>
    <w:uiPriority w:val="34"/>
    <w:qFormat/>
    <w:rsid w:val="008F0E7C"/>
    <w:pPr>
      <w:ind w:leftChars="400" w:left="800"/>
    </w:pPr>
  </w:style>
  <w:style w:type="paragraph" w:styleId="BalloonText">
    <w:name w:val="Balloon Text"/>
    <w:basedOn w:val="Normal"/>
    <w:link w:val="BalloonTextChar"/>
    <w:uiPriority w:val="99"/>
    <w:semiHidden/>
    <w:rsid w:val="008F0E7C"/>
    <w:pPr>
      <w:spacing w:after="0" w:line="240" w:lineRule="auto"/>
    </w:pPr>
    <w:rPr>
      <w:rFonts w:ascii="Arial" w:eastAsia="MS Gothic" w:hAnsi="Arial" w:cs="Arial"/>
      <w:sz w:val="18"/>
      <w:szCs w:val="18"/>
    </w:rPr>
  </w:style>
  <w:style w:type="character" w:customStyle="1" w:styleId="BalloonTextChar">
    <w:name w:val="Balloon Text Char"/>
    <w:link w:val="BalloonText"/>
    <w:uiPriority w:val="99"/>
    <w:semiHidden/>
    <w:rsid w:val="008F0E7C"/>
    <w:rPr>
      <w:rFonts w:ascii="Arial" w:eastAsia="MS Gothic" w:hAnsi="Arial" w:cs="Arial"/>
      <w:noProof/>
      <w:kern w:val="0"/>
      <w:sz w:val="18"/>
      <w:szCs w:val="18"/>
      <w:lang w:eastAsia="en-US"/>
    </w:rPr>
  </w:style>
  <w:style w:type="paragraph" w:customStyle="1" w:styleId="Referencetext">
    <w:name w:val="Reference text"/>
    <w:basedOn w:val="Normal"/>
    <w:rsid w:val="00106E43"/>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eastAsia="id-ID"/>
    </w:rPr>
  </w:style>
  <w:style w:type="paragraph" w:customStyle="1" w:styleId="Default">
    <w:name w:val="Default"/>
    <w:rsid w:val="002D52A7"/>
    <w:pPr>
      <w:autoSpaceDE w:val="0"/>
      <w:autoSpaceDN w:val="0"/>
      <w:adjustRightInd w:val="0"/>
    </w:pPr>
    <w:rPr>
      <w:rFonts w:ascii="Verdana" w:eastAsiaTheme="minorHAnsi" w:hAnsi="Verdana" w:cs="Verdana"/>
      <w:color w:val="000000"/>
      <w:sz w:val="24"/>
      <w:szCs w:val="24"/>
    </w:rPr>
  </w:style>
  <w:style w:type="paragraph" w:styleId="BodyText">
    <w:name w:val="Body Text"/>
    <w:basedOn w:val="Normal"/>
    <w:link w:val="BodyTextChar"/>
    <w:semiHidden/>
    <w:rsid w:val="00E95C23"/>
    <w:pPr>
      <w:spacing w:after="0" w:line="240" w:lineRule="auto"/>
      <w:jc w:val="lowKashida"/>
    </w:pPr>
    <w:rPr>
      <w:rFonts w:ascii="Times New Roman" w:eastAsia="Times New Roman" w:hAnsi="Times New Roman" w:cs="Traditional Arabic"/>
      <w:sz w:val="24"/>
      <w:szCs w:val="28"/>
      <w:lang w:eastAsia="en-US"/>
    </w:rPr>
  </w:style>
  <w:style w:type="character" w:customStyle="1" w:styleId="BodyTextChar">
    <w:name w:val="Body Text Char"/>
    <w:basedOn w:val="DefaultParagraphFont"/>
    <w:link w:val="BodyText"/>
    <w:semiHidden/>
    <w:rsid w:val="00E95C23"/>
    <w:rPr>
      <w:rFonts w:ascii="Times New Roman" w:eastAsia="Times New Roman" w:hAnsi="Times New Roman" w:cs="Traditional Arabic"/>
      <w:sz w:val="24"/>
      <w:szCs w:val="28"/>
    </w:rPr>
  </w:style>
  <w:style w:type="table" w:styleId="TableGrid">
    <w:name w:val="Table Grid"/>
    <w:basedOn w:val="TableNormal"/>
    <w:uiPriority w:val="59"/>
    <w:rsid w:val="00D20A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5451">
      <w:marLeft w:val="0"/>
      <w:marRight w:val="0"/>
      <w:marTop w:val="0"/>
      <w:marBottom w:val="0"/>
      <w:divBdr>
        <w:top w:val="none" w:sz="0" w:space="0" w:color="auto"/>
        <w:left w:val="none" w:sz="0" w:space="0" w:color="auto"/>
        <w:bottom w:val="none" w:sz="0" w:space="0" w:color="auto"/>
        <w:right w:val="none" w:sz="0" w:space="0" w:color="auto"/>
      </w:divBdr>
      <w:divsChild>
        <w:div w:id="1646155452">
          <w:marLeft w:val="0"/>
          <w:marRight w:val="0"/>
          <w:marTop w:val="0"/>
          <w:marBottom w:val="0"/>
          <w:divBdr>
            <w:top w:val="none" w:sz="0" w:space="0" w:color="auto"/>
            <w:left w:val="none" w:sz="0" w:space="0" w:color="auto"/>
            <w:bottom w:val="none" w:sz="0" w:space="0" w:color="auto"/>
            <w:right w:val="none" w:sz="0" w:space="0" w:color="auto"/>
          </w:divBdr>
        </w:div>
      </w:divsChild>
    </w:div>
    <w:div w:id="1646155455">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6">
              <w:marLeft w:val="0"/>
              <w:marRight w:val="0"/>
              <w:marTop w:val="0"/>
              <w:marBottom w:val="0"/>
              <w:divBdr>
                <w:top w:val="none" w:sz="0" w:space="0" w:color="auto"/>
                <w:left w:val="none" w:sz="0" w:space="0" w:color="auto"/>
                <w:bottom w:val="none" w:sz="0" w:space="0" w:color="auto"/>
                <w:right w:val="none" w:sz="0" w:space="0" w:color="auto"/>
              </w:divBdr>
              <w:divsChild>
                <w:div w:id="1646155460">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 w:id="1646155458">
      <w:marLeft w:val="0"/>
      <w:marRight w:val="0"/>
      <w:marTop w:val="0"/>
      <w:marBottom w:val="0"/>
      <w:divBdr>
        <w:top w:val="none" w:sz="0" w:space="0" w:color="auto"/>
        <w:left w:val="none" w:sz="0" w:space="0" w:color="auto"/>
        <w:bottom w:val="none" w:sz="0" w:space="0" w:color="auto"/>
        <w:right w:val="none" w:sz="0" w:space="0" w:color="auto"/>
      </w:divBdr>
      <w:divsChild>
        <w:div w:id="1646155453">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4">
              <w:marLeft w:val="0"/>
              <w:marRight w:val="0"/>
              <w:marTop w:val="0"/>
              <w:marBottom w:val="0"/>
              <w:divBdr>
                <w:top w:val="none" w:sz="0" w:space="0" w:color="auto"/>
                <w:left w:val="none" w:sz="0" w:space="0" w:color="auto"/>
                <w:bottom w:val="none" w:sz="0" w:space="0" w:color="auto"/>
                <w:right w:val="none" w:sz="0" w:space="0" w:color="auto"/>
              </w:divBdr>
              <w:divsChild>
                <w:div w:id="1646155459">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chart" Target="charts/chart2.xm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oleObject" Target="embeddings/oleObject13.bin"/><Relationship Id="rId49"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chart" Target="charts/chart3.xml"/><Relationship Id="rId48" Type="http://schemas.openxmlformats.org/officeDocument/2006/relationships/chart" Target="charts/chart7.xml"/><Relationship Id="rId8" Type="http://schemas.openxmlformats.org/officeDocument/2006/relationships/image" Target="media/image1.jp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202\Rock%20Mechanics\ARMS9-Bali-Underbalanced%20Drilling%20Paper\Plots%20of%20new%20three%20cases%20from%20literature%20-%20Vertical%20Well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202\Rock%20Mechanics\ARMS9-Bali-Underbalanced%20Drilling%20Paper\Plots%20of%20new%20three%20cases%20from%20literature%20-%20Vertical%20Well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a%202\Rock%20Mechanics\Plots%20of%20new%20three%20cases%20from%20literature%20-%20Vertical%20Well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ata%202\Rock%20Mechanics\ARMS9-Bali-Underbalanced%20Drilling%20Paper\Plots%20of%20new%20three%20cases%20from%20literature%20-%20Horizontal%20Wells%20for%20Case%2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data%202\Rock%20Mechanics\ARMS9-Bali-Underbalanced%20Drilling%20Paper\Plots%20of%20new%20three%20cases%20from%20literature%20-%20Horizontal%20Wells%20for%20Case%20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data%202\Rock%20Mechanics\ARMS9-Bali-Underbalanced%20Drilling%20Paper\Plots%20of%20new%20three%20cases%20from%20literature%20-%20Horizontal%20Wells%20for%20Case%20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data%201\Rock%20Mechanics%20Folder\ARMS9-Bali-Underbalanced%20Drilling%20Paper\Figure%2010%20-Data%20and%20Pl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77673069196369"/>
          <c:y val="0.15739189639456394"/>
          <c:w val="0.63270560364845052"/>
          <c:h val="0.65100297774935778"/>
        </c:manualLayout>
      </c:layout>
      <c:scatterChart>
        <c:scatterStyle val="smoothMarker"/>
        <c:varyColors val="0"/>
        <c:ser>
          <c:idx val="0"/>
          <c:order val="0"/>
          <c:tx>
            <c:v>Failure Envelope</c:v>
          </c:tx>
          <c:spPr>
            <a:ln>
              <a:solidFill>
                <a:schemeClr val="tx1"/>
              </a:solidFill>
            </a:ln>
          </c:spPr>
          <c:marker>
            <c:symbol val="none"/>
          </c:marker>
          <c:xVal>
            <c:numRef>
              <c:f>Sheet1!$I$3:$I$5</c:f>
              <c:numCache>
                <c:formatCode>0.00</c:formatCode>
                <c:ptCount val="3"/>
                <c:pt idx="0">
                  <c:v>31.6</c:v>
                </c:pt>
                <c:pt idx="1">
                  <c:v>51</c:v>
                </c:pt>
                <c:pt idx="2">
                  <c:v>54.2</c:v>
                </c:pt>
              </c:numCache>
            </c:numRef>
          </c:xVal>
          <c:yVal>
            <c:numRef>
              <c:f>Sheet1!$J$3:$J$5</c:f>
              <c:numCache>
                <c:formatCode>0.00</c:formatCode>
                <c:ptCount val="3"/>
                <c:pt idx="0">
                  <c:v>7.2</c:v>
                </c:pt>
                <c:pt idx="1">
                  <c:v>7.6</c:v>
                </c:pt>
                <c:pt idx="2">
                  <c:v>8</c:v>
                </c:pt>
              </c:numCache>
            </c:numRef>
          </c:yVal>
          <c:smooth val="1"/>
        </c:ser>
        <c:ser>
          <c:idx val="1"/>
          <c:order val="1"/>
          <c:tx>
            <c:v>Drilling Envelope</c:v>
          </c:tx>
          <c:spPr>
            <a:ln>
              <a:solidFill>
                <a:schemeClr val="tx1"/>
              </a:solidFill>
              <a:prstDash val="sysDash"/>
            </a:ln>
          </c:spPr>
          <c:marker>
            <c:symbol val="none"/>
          </c:marker>
          <c:xVal>
            <c:numRef>
              <c:f>Sheet1!$I$3:$I$5</c:f>
              <c:numCache>
                <c:formatCode>0.00</c:formatCode>
                <c:ptCount val="3"/>
                <c:pt idx="0">
                  <c:v>31.6</c:v>
                </c:pt>
                <c:pt idx="1">
                  <c:v>51</c:v>
                </c:pt>
                <c:pt idx="2">
                  <c:v>54.2</c:v>
                </c:pt>
              </c:numCache>
            </c:numRef>
          </c:xVal>
          <c:yVal>
            <c:numRef>
              <c:f>Sheet1!$K$3:$K$5</c:f>
              <c:numCache>
                <c:formatCode>0.00</c:formatCode>
                <c:ptCount val="3"/>
                <c:pt idx="0">
                  <c:v>7.2</c:v>
                </c:pt>
                <c:pt idx="1">
                  <c:v>2.2999999999999998</c:v>
                </c:pt>
                <c:pt idx="2">
                  <c:v>1.8</c:v>
                </c:pt>
              </c:numCache>
            </c:numRef>
          </c:yVal>
          <c:smooth val="1"/>
        </c:ser>
        <c:dLbls>
          <c:showLegendKey val="0"/>
          <c:showVal val="0"/>
          <c:showCatName val="0"/>
          <c:showSerName val="0"/>
          <c:showPercent val="0"/>
          <c:showBubbleSize val="0"/>
        </c:dLbls>
        <c:axId val="135047424"/>
        <c:axId val="135239552"/>
      </c:scatterChart>
      <c:valAx>
        <c:axId val="135047424"/>
        <c:scaling>
          <c:orientation val="minMax"/>
          <c:max val="80"/>
          <c:min val="0"/>
        </c:scaling>
        <c:delete val="0"/>
        <c:axPos val="b"/>
        <c:majorGridlines/>
        <c:numFmt formatCode="0" sourceLinked="0"/>
        <c:majorTickMark val="out"/>
        <c:minorTickMark val="none"/>
        <c:tickLblPos val="nextTo"/>
        <c:txPr>
          <a:bodyPr/>
          <a:lstStyle/>
          <a:p>
            <a:pPr>
              <a:defRPr sz="1100" b="1"/>
            </a:pPr>
            <a:endParaRPr lang="en-US"/>
          </a:p>
        </c:txPr>
        <c:crossAx val="135239552"/>
        <c:crosses val="autoZero"/>
        <c:crossBetween val="midCat"/>
        <c:majorUnit val="10"/>
      </c:valAx>
      <c:valAx>
        <c:axId val="135239552"/>
        <c:scaling>
          <c:orientation val="minMax"/>
          <c:max val="18"/>
        </c:scaling>
        <c:delete val="0"/>
        <c:axPos val="l"/>
        <c:majorGridlines/>
        <c:numFmt formatCode="0" sourceLinked="0"/>
        <c:majorTickMark val="out"/>
        <c:minorTickMark val="none"/>
        <c:tickLblPos val="low"/>
        <c:txPr>
          <a:bodyPr/>
          <a:lstStyle/>
          <a:p>
            <a:pPr>
              <a:defRPr sz="1100" b="1"/>
            </a:pPr>
            <a:endParaRPr lang="en-US"/>
          </a:p>
        </c:txPr>
        <c:crossAx val="135047424"/>
        <c:crosses val="autoZero"/>
        <c:crossBetween val="midCat"/>
        <c:majorUnit val="2"/>
      </c:valAx>
      <c:spPr>
        <a:solidFill>
          <a:schemeClr val="bg1"/>
        </a:solidFill>
      </c:spPr>
    </c:plotArea>
    <c:legend>
      <c:legendPos val="r"/>
      <c:layout>
        <c:manualLayout>
          <c:xMode val="edge"/>
          <c:yMode val="edge"/>
          <c:x val="0.16466521472050036"/>
          <c:y val="4.9778260476061301E-4"/>
          <c:w val="0.65773380713096752"/>
          <c:h val="8.4155757781678581E-2"/>
        </c:manualLayout>
      </c:layout>
      <c:overlay val="0"/>
      <c:txPr>
        <a:bodyPr/>
        <a:lstStyle/>
        <a:p>
          <a:pPr>
            <a:defRPr sz="1200" b="1"/>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102469912643208"/>
          <c:y val="0.14741213178545778"/>
          <c:w val="0.67425225194582861"/>
          <c:h val="0.63819775754681907"/>
        </c:manualLayout>
      </c:layout>
      <c:scatterChart>
        <c:scatterStyle val="smoothMarker"/>
        <c:varyColors val="0"/>
        <c:ser>
          <c:idx val="0"/>
          <c:order val="0"/>
          <c:tx>
            <c:v>Failure Envelope</c:v>
          </c:tx>
          <c:spPr>
            <a:ln>
              <a:solidFill>
                <a:schemeClr val="tx1"/>
              </a:solidFill>
              <a:prstDash val="solid"/>
            </a:ln>
          </c:spPr>
          <c:marker>
            <c:symbol val="none"/>
          </c:marker>
          <c:xVal>
            <c:numRef>
              <c:f>Sheet1!$F$3:$F$5</c:f>
              <c:numCache>
                <c:formatCode>0.00</c:formatCode>
                <c:ptCount val="3"/>
                <c:pt idx="0">
                  <c:v>21.8</c:v>
                </c:pt>
                <c:pt idx="1">
                  <c:v>51</c:v>
                </c:pt>
                <c:pt idx="2">
                  <c:v>59.1</c:v>
                </c:pt>
              </c:numCache>
            </c:numRef>
          </c:xVal>
          <c:yVal>
            <c:numRef>
              <c:f>Sheet1!$G$3:$G$5</c:f>
              <c:numCache>
                <c:formatCode>0.00</c:formatCode>
                <c:ptCount val="3"/>
                <c:pt idx="0">
                  <c:v>10.199999999999999</c:v>
                </c:pt>
                <c:pt idx="1">
                  <c:v>10.6</c:v>
                </c:pt>
                <c:pt idx="2">
                  <c:v>11.2</c:v>
                </c:pt>
              </c:numCache>
            </c:numRef>
          </c:yVal>
          <c:smooth val="1"/>
        </c:ser>
        <c:ser>
          <c:idx val="1"/>
          <c:order val="1"/>
          <c:tx>
            <c:v>Drilling Envelope</c:v>
          </c:tx>
          <c:spPr>
            <a:ln>
              <a:solidFill>
                <a:schemeClr val="tx1"/>
              </a:solidFill>
              <a:prstDash val="sysDash"/>
            </a:ln>
          </c:spPr>
          <c:marker>
            <c:symbol val="none"/>
          </c:marker>
          <c:xVal>
            <c:numRef>
              <c:f>Sheet1!$F$3:$F$5</c:f>
              <c:numCache>
                <c:formatCode>0.00</c:formatCode>
                <c:ptCount val="3"/>
                <c:pt idx="0">
                  <c:v>21.8</c:v>
                </c:pt>
                <c:pt idx="1">
                  <c:v>51</c:v>
                </c:pt>
                <c:pt idx="2">
                  <c:v>59.1</c:v>
                </c:pt>
              </c:numCache>
            </c:numRef>
          </c:xVal>
          <c:yVal>
            <c:numRef>
              <c:f>Sheet1!$H$3:$H$5</c:f>
              <c:numCache>
                <c:formatCode>0.00</c:formatCode>
                <c:ptCount val="3"/>
                <c:pt idx="0">
                  <c:v>10.199999999999999</c:v>
                </c:pt>
                <c:pt idx="1">
                  <c:v>2.2000000000000002</c:v>
                </c:pt>
                <c:pt idx="2">
                  <c:v>1</c:v>
                </c:pt>
              </c:numCache>
            </c:numRef>
          </c:yVal>
          <c:smooth val="1"/>
        </c:ser>
        <c:dLbls>
          <c:showLegendKey val="0"/>
          <c:showVal val="0"/>
          <c:showCatName val="0"/>
          <c:showSerName val="0"/>
          <c:showPercent val="0"/>
          <c:showBubbleSize val="0"/>
        </c:dLbls>
        <c:axId val="75271168"/>
        <c:axId val="75272960"/>
      </c:scatterChart>
      <c:valAx>
        <c:axId val="75271168"/>
        <c:scaling>
          <c:orientation val="minMax"/>
          <c:max val="80"/>
          <c:min val="0"/>
        </c:scaling>
        <c:delete val="0"/>
        <c:axPos val="b"/>
        <c:majorGridlines/>
        <c:numFmt formatCode="0" sourceLinked="0"/>
        <c:majorTickMark val="out"/>
        <c:minorTickMark val="none"/>
        <c:tickLblPos val="nextTo"/>
        <c:txPr>
          <a:bodyPr/>
          <a:lstStyle/>
          <a:p>
            <a:pPr>
              <a:defRPr sz="1100" b="1"/>
            </a:pPr>
            <a:endParaRPr lang="en-US"/>
          </a:p>
        </c:txPr>
        <c:crossAx val="75272960"/>
        <c:crosses val="autoZero"/>
        <c:crossBetween val="midCat"/>
        <c:majorUnit val="10"/>
      </c:valAx>
      <c:valAx>
        <c:axId val="75272960"/>
        <c:scaling>
          <c:orientation val="minMax"/>
          <c:max val="18"/>
        </c:scaling>
        <c:delete val="0"/>
        <c:axPos val="l"/>
        <c:majorGridlines/>
        <c:numFmt formatCode="0" sourceLinked="0"/>
        <c:majorTickMark val="out"/>
        <c:minorTickMark val="none"/>
        <c:tickLblPos val="low"/>
        <c:txPr>
          <a:bodyPr/>
          <a:lstStyle/>
          <a:p>
            <a:pPr>
              <a:defRPr sz="1100" b="1"/>
            </a:pPr>
            <a:endParaRPr lang="en-US"/>
          </a:p>
        </c:txPr>
        <c:crossAx val="75271168"/>
        <c:crosses val="autoZero"/>
        <c:crossBetween val="midCat"/>
      </c:valAx>
    </c:plotArea>
    <c:legend>
      <c:legendPos val="r"/>
      <c:layout>
        <c:manualLayout>
          <c:xMode val="edge"/>
          <c:yMode val="edge"/>
          <c:x val="8.9618203772044699E-2"/>
          <c:y val="2.0911729032718866E-2"/>
          <c:w val="0.72895631026683216"/>
          <c:h val="7.2087449589774172E-2"/>
        </c:manualLayout>
      </c:layout>
      <c:overlay val="0"/>
      <c:txPr>
        <a:bodyPr/>
        <a:lstStyle/>
        <a:p>
          <a:pPr>
            <a:defRPr sz="1200" b="1"/>
          </a:pPr>
          <a:endParaRPr lang="en-US"/>
        </a:p>
      </c:txPr>
    </c:legend>
    <c:plotVisOnly val="1"/>
    <c:dispBlanksAs val="gap"/>
    <c:showDLblsOverMax val="0"/>
  </c:chart>
  <c:spPr>
    <a:noFill/>
    <a:ln>
      <a:solidFill>
        <a:schemeClr val="tx1"/>
      </a:solidFill>
    </a:ln>
    <a:effectLst>
      <a:outerShdw blurRad="50800" dist="50800" dir="5400000" algn="ctr" rotWithShape="0">
        <a:srgbClr val="000000">
          <a:alpha val="0"/>
        </a:srgbClr>
      </a:outerShdw>
    </a:effec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155858326698"/>
          <c:y val="0.14648936428895801"/>
          <c:w val="0.68504597599457373"/>
          <c:h val="0.65715530628889351"/>
        </c:manualLayout>
      </c:layout>
      <c:scatterChart>
        <c:scatterStyle val="smoothMarker"/>
        <c:varyColors val="0"/>
        <c:ser>
          <c:idx val="0"/>
          <c:order val="0"/>
          <c:tx>
            <c:v>Failure Envelope</c:v>
          </c:tx>
          <c:spPr>
            <a:ln>
              <a:solidFill>
                <a:schemeClr val="tx1"/>
              </a:solidFill>
              <a:prstDash val="solid"/>
            </a:ln>
          </c:spPr>
          <c:marker>
            <c:symbol val="none"/>
          </c:marker>
          <c:xVal>
            <c:numRef>
              <c:f>'[Plots of new three cases from literature - Vertical Wells.xlsx]Sheet1'!$C$3:$C$5</c:f>
              <c:numCache>
                <c:formatCode>0.00</c:formatCode>
                <c:ptCount val="3"/>
                <c:pt idx="0">
                  <c:v>11.3</c:v>
                </c:pt>
                <c:pt idx="1">
                  <c:v>51</c:v>
                </c:pt>
                <c:pt idx="2">
                  <c:v>62.2</c:v>
                </c:pt>
              </c:numCache>
            </c:numRef>
          </c:xVal>
          <c:yVal>
            <c:numRef>
              <c:f>'[Plots of new three cases from literature - Vertical Wells.xlsx]Sheet1'!$D$3:$D$5</c:f>
              <c:numCache>
                <c:formatCode>0.00</c:formatCode>
                <c:ptCount val="3"/>
                <c:pt idx="0">
                  <c:v>13.3</c:v>
                </c:pt>
                <c:pt idx="1">
                  <c:v>13.9</c:v>
                </c:pt>
                <c:pt idx="2">
                  <c:v>14.9</c:v>
                </c:pt>
              </c:numCache>
            </c:numRef>
          </c:yVal>
          <c:smooth val="1"/>
        </c:ser>
        <c:ser>
          <c:idx val="1"/>
          <c:order val="1"/>
          <c:tx>
            <c:v>Drilling Envelope</c:v>
          </c:tx>
          <c:spPr>
            <a:ln>
              <a:solidFill>
                <a:schemeClr val="tx1"/>
              </a:solidFill>
              <a:prstDash val="sysDash"/>
            </a:ln>
          </c:spPr>
          <c:marker>
            <c:symbol val="none"/>
          </c:marker>
          <c:xVal>
            <c:numRef>
              <c:f>'[Plots of new three cases from literature - Vertical Wells.xlsx]Sheet1'!$C$3:$C$5</c:f>
              <c:numCache>
                <c:formatCode>0.00</c:formatCode>
                <c:ptCount val="3"/>
                <c:pt idx="0">
                  <c:v>11.3</c:v>
                </c:pt>
                <c:pt idx="1">
                  <c:v>51</c:v>
                </c:pt>
                <c:pt idx="2">
                  <c:v>62.2</c:v>
                </c:pt>
              </c:numCache>
            </c:numRef>
          </c:xVal>
          <c:yVal>
            <c:numRef>
              <c:f>'[Plots of new three cases from literature - Vertical Wells.xlsx]Sheet1'!$E$3:$E$5</c:f>
              <c:numCache>
                <c:formatCode>0.00</c:formatCode>
                <c:ptCount val="3"/>
                <c:pt idx="0">
                  <c:v>13.3</c:v>
                </c:pt>
                <c:pt idx="1">
                  <c:v>2.2000000000000002</c:v>
                </c:pt>
                <c:pt idx="2">
                  <c:v>0.5</c:v>
                </c:pt>
              </c:numCache>
            </c:numRef>
          </c:yVal>
          <c:smooth val="1"/>
        </c:ser>
        <c:dLbls>
          <c:showLegendKey val="0"/>
          <c:showVal val="0"/>
          <c:showCatName val="0"/>
          <c:showSerName val="0"/>
          <c:showPercent val="0"/>
          <c:showBubbleSize val="0"/>
        </c:dLbls>
        <c:axId val="75296768"/>
        <c:axId val="75298304"/>
      </c:scatterChart>
      <c:valAx>
        <c:axId val="75296768"/>
        <c:scaling>
          <c:orientation val="minMax"/>
          <c:max val="80"/>
        </c:scaling>
        <c:delete val="0"/>
        <c:axPos val="b"/>
        <c:majorGridlines/>
        <c:numFmt formatCode="0" sourceLinked="0"/>
        <c:majorTickMark val="out"/>
        <c:minorTickMark val="none"/>
        <c:tickLblPos val="nextTo"/>
        <c:txPr>
          <a:bodyPr/>
          <a:lstStyle/>
          <a:p>
            <a:pPr>
              <a:defRPr sz="1100" b="1"/>
            </a:pPr>
            <a:endParaRPr lang="en-US"/>
          </a:p>
        </c:txPr>
        <c:crossAx val="75298304"/>
        <c:crosses val="autoZero"/>
        <c:crossBetween val="midCat"/>
        <c:majorUnit val="10"/>
      </c:valAx>
      <c:valAx>
        <c:axId val="75298304"/>
        <c:scaling>
          <c:orientation val="minMax"/>
          <c:max val="18"/>
        </c:scaling>
        <c:delete val="0"/>
        <c:axPos val="l"/>
        <c:majorGridlines/>
        <c:numFmt formatCode="0" sourceLinked="0"/>
        <c:majorTickMark val="out"/>
        <c:minorTickMark val="none"/>
        <c:tickLblPos val="low"/>
        <c:txPr>
          <a:bodyPr/>
          <a:lstStyle/>
          <a:p>
            <a:pPr>
              <a:defRPr sz="1100" b="1"/>
            </a:pPr>
            <a:endParaRPr lang="en-US"/>
          </a:p>
        </c:txPr>
        <c:crossAx val="75296768"/>
        <c:crosses val="autoZero"/>
        <c:crossBetween val="midCat"/>
      </c:valAx>
    </c:plotArea>
    <c:legend>
      <c:legendPos val="r"/>
      <c:layout>
        <c:manualLayout>
          <c:xMode val="edge"/>
          <c:yMode val="edge"/>
          <c:x val="0.13370444424783984"/>
          <c:y val="1.5564342979418633E-2"/>
          <c:w val="0.76743094753605245"/>
          <c:h val="7.58093846094193E-2"/>
        </c:manualLayout>
      </c:layout>
      <c:overlay val="0"/>
      <c:txPr>
        <a:bodyPr/>
        <a:lstStyle/>
        <a:p>
          <a:pPr>
            <a:defRPr sz="1200" b="1"/>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06972858640977"/>
          <c:y val="0.12072944006999126"/>
          <c:w val="0.66374759405074368"/>
          <c:h val="0.68898111694371533"/>
        </c:manualLayout>
      </c:layout>
      <c:scatterChart>
        <c:scatterStyle val="smoothMarker"/>
        <c:varyColors val="0"/>
        <c:ser>
          <c:idx val="0"/>
          <c:order val="0"/>
          <c:tx>
            <c:strRef>
              <c:f>'[Plots of new three cases from literature - Horizontal Wells for Case 1.xlsx]Sheet1'!$O$1</c:f>
              <c:strCache>
                <c:ptCount val="1"/>
                <c:pt idx="0">
                  <c:v>UBD</c:v>
                </c:pt>
              </c:strCache>
            </c:strRef>
          </c:tx>
          <c:spPr>
            <a:ln>
              <a:solidFill>
                <a:schemeClr val="tx1"/>
              </a:solidFill>
            </a:ln>
          </c:spPr>
          <c:marker>
            <c:symbol val="square"/>
            <c:size val="8"/>
            <c:spPr>
              <a:solidFill>
                <a:schemeClr val="tx1"/>
              </a:solidFill>
              <a:ln>
                <a:solidFill>
                  <a:schemeClr val="tx1"/>
                </a:solidFill>
              </a:ln>
            </c:spPr>
          </c:marker>
          <c:xVal>
            <c:numRef>
              <c:f>'[Plots of new three cases from literature - Horizontal Wells for Case 1.xlsx]Sheet1'!$N$2:$N$4</c:f>
              <c:numCache>
                <c:formatCode>General</c:formatCode>
                <c:ptCount val="3"/>
                <c:pt idx="0">
                  <c:v>35.6</c:v>
                </c:pt>
                <c:pt idx="1">
                  <c:v>20.6</c:v>
                </c:pt>
                <c:pt idx="2">
                  <c:v>6.9</c:v>
                </c:pt>
              </c:numCache>
            </c:numRef>
          </c:xVal>
          <c:yVal>
            <c:numRef>
              <c:f>'[Plots of new three cases from literature - Horizontal Wells for Case 1.xlsx]Sheet1'!$O$2:$O$4</c:f>
              <c:numCache>
                <c:formatCode>General</c:formatCode>
                <c:ptCount val="3"/>
                <c:pt idx="0">
                  <c:v>-39.700000000000003</c:v>
                </c:pt>
                <c:pt idx="1">
                  <c:v>-29.2</c:v>
                </c:pt>
                <c:pt idx="2">
                  <c:v>-19.399999999999999</c:v>
                </c:pt>
              </c:numCache>
            </c:numRef>
          </c:yVal>
          <c:smooth val="1"/>
        </c:ser>
        <c:ser>
          <c:idx val="1"/>
          <c:order val="1"/>
          <c:tx>
            <c:strRef>
              <c:f>'[Plots of new three cases from literature - Horizontal Wells for Case 1.xlsx]Sheet1'!$P$1</c:f>
              <c:strCache>
                <c:ptCount val="1"/>
                <c:pt idx="0">
                  <c:v>OBD</c:v>
                </c:pt>
              </c:strCache>
            </c:strRef>
          </c:tx>
          <c:spPr>
            <a:ln>
              <a:solidFill>
                <a:schemeClr val="tx1"/>
              </a:solidFill>
            </a:ln>
          </c:spPr>
          <c:marker>
            <c:symbol val="triangle"/>
            <c:size val="8"/>
            <c:spPr>
              <a:solidFill>
                <a:schemeClr val="tx1"/>
              </a:solidFill>
              <a:ln>
                <a:solidFill>
                  <a:schemeClr val="tx1"/>
                </a:solidFill>
              </a:ln>
            </c:spPr>
          </c:marker>
          <c:xVal>
            <c:numRef>
              <c:f>'[Plots of new three cases from literature - Horizontal Wells for Case 1.xlsx]Sheet1'!$N$2:$N$4</c:f>
              <c:numCache>
                <c:formatCode>General</c:formatCode>
                <c:ptCount val="3"/>
                <c:pt idx="0">
                  <c:v>35.6</c:v>
                </c:pt>
                <c:pt idx="1">
                  <c:v>20.6</c:v>
                </c:pt>
                <c:pt idx="2">
                  <c:v>6.9</c:v>
                </c:pt>
              </c:numCache>
            </c:numRef>
          </c:xVal>
          <c:yVal>
            <c:numRef>
              <c:f>'[Plots of new three cases from literature - Horizontal Wells for Case 1.xlsx]Sheet1'!$P$2:$P$4</c:f>
              <c:numCache>
                <c:formatCode>General</c:formatCode>
                <c:ptCount val="3"/>
                <c:pt idx="0">
                  <c:v>11.2</c:v>
                </c:pt>
                <c:pt idx="1">
                  <c:v>8.1</c:v>
                </c:pt>
                <c:pt idx="2">
                  <c:v>3.2</c:v>
                </c:pt>
              </c:numCache>
            </c:numRef>
          </c:yVal>
          <c:smooth val="1"/>
        </c:ser>
        <c:ser>
          <c:idx val="2"/>
          <c:order val="2"/>
          <c:tx>
            <c:strRef>
              <c:f>'[Plots of new three cases from literature - Horizontal Wells for Case 1.xlsx]Sheet1'!$Q$1</c:f>
              <c:strCache>
                <c:ptCount val="1"/>
                <c:pt idx="0">
                  <c:v>MPD</c:v>
                </c:pt>
              </c:strCache>
            </c:strRef>
          </c:tx>
          <c:spPr>
            <a:ln>
              <a:solidFill>
                <a:schemeClr val="tx1"/>
              </a:solidFill>
              <a:prstDash val="sysDash"/>
            </a:ln>
          </c:spPr>
          <c:marker>
            <c:symbol val="none"/>
          </c:marker>
          <c:xVal>
            <c:numRef>
              <c:f>'[Plots of new three cases from literature - Horizontal Wells for Case 1.xlsx]Sheet1'!$N$2:$N$4</c:f>
              <c:numCache>
                <c:formatCode>General</c:formatCode>
                <c:ptCount val="3"/>
                <c:pt idx="0">
                  <c:v>35.6</c:v>
                </c:pt>
                <c:pt idx="1">
                  <c:v>20.6</c:v>
                </c:pt>
                <c:pt idx="2">
                  <c:v>6.9</c:v>
                </c:pt>
              </c:numCache>
            </c:numRef>
          </c:xVal>
          <c:yVal>
            <c:numRef>
              <c:f>'[Plots of new three cases from literature - Horizontal Wells for Case 1.xlsx]Sheet1'!$Q$2:$Q$4</c:f>
              <c:numCache>
                <c:formatCode>General</c:formatCode>
                <c:ptCount val="3"/>
                <c:pt idx="0">
                  <c:v>0</c:v>
                </c:pt>
                <c:pt idx="1">
                  <c:v>0</c:v>
                </c:pt>
                <c:pt idx="2">
                  <c:v>0</c:v>
                </c:pt>
              </c:numCache>
            </c:numRef>
          </c:yVal>
          <c:smooth val="1"/>
        </c:ser>
        <c:dLbls>
          <c:showLegendKey val="0"/>
          <c:showVal val="0"/>
          <c:showCatName val="0"/>
          <c:showSerName val="0"/>
          <c:showPercent val="0"/>
          <c:showBubbleSize val="0"/>
        </c:dLbls>
        <c:axId val="83396864"/>
        <c:axId val="83406848"/>
      </c:scatterChart>
      <c:valAx>
        <c:axId val="83396864"/>
        <c:scaling>
          <c:orientation val="minMax"/>
        </c:scaling>
        <c:delete val="0"/>
        <c:axPos val="b"/>
        <c:majorGridlines/>
        <c:numFmt formatCode="General" sourceLinked="1"/>
        <c:majorTickMark val="out"/>
        <c:minorTickMark val="none"/>
        <c:tickLblPos val="low"/>
        <c:txPr>
          <a:bodyPr/>
          <a:lstStyle/>
          <a:p>
            <a:pPr>
              <a:defRPr sz="1100" b="1"/>
            </a:pPr>
            <a:endParaRPr lang="en-US"/>
          </a:p>
        </c:txPr>
        <c:crossAx val="83406848"/>
        <c:crosses val="autoZero"/>
        <c:crossBetween val="midCat"/>
      </c:valAx>
      <c:valAx>
        <c:axId val="83406848"/>
        <c:scaling>
          <c:orientation val="minMax"/>
          <c:max val="30"/>
        </c:scaling>
        <c:delete val="0"/>
        <c:axPos val="l"/>
        <c:majorGridlines/>
        <c:numFmt formatCode="General" sourceLinked="1"/>
        <c:majorTickMark val="out"/>
        <c:minorTickMark val="none"/>
        <c:tickLblPos val="nextTo"/>
        <c:txPr>
          <a:bodyPr/>
          <a:lstStyle/>
          <a:p>
            <a:pPr>
              <a:defRPr sz="1100" b="1"/>
            </a:pPr>
            <a:endParaRPr lang="en-US"/>
          </a:p>
        </c:txPr>
        <c:crossAx val="83396864"/>
        <c:crosses val="autoZero"/>
        <c:crossBetween val="midCat"/>
        <c:majorUnit val="10"/>
      </c:valAx>
    </c:plotArea>
    <c:legend>
      <c:legendPos val="r"/>
      <c:layout>
        <c:manualLayout>
          <c:xMode val="edge"/>
          <c:yMode val="edge"/>
          <c:x val="0.17372697487306185"/>
          <c:y val="8.8754009915427232E-3"/>
          <c:w val="0.71768066491688554"/>
          <c:h val="9.8373797025371829E-2"/>
        </c:manualLayout>
      </c:layout>
      <c:overlay val="0"/>
      <c:txPr>
        <a:bodyPr/>
        <a:lstStyle/>
        <a:p>
          <a:pPr>
            <a:defRPr sz="1200" b="1"/>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155858326698"/>
          <c:y val="0.14648936428895801"/>
          <c:w val="0.68504597599457373"/>
          <c:h val="0.65715530628889351"/>
        </c:manualLayout>
      </c:layout>
      <c:scatterChart>
        <c:scatterStyle val="smoothMarker"/>
        <c:varyColors val="0"/>
        <c:ser>
          <c:idx val="2"/>
          <c:order val="2"/>
          <c:tx>
            <c:v>Failure Envelope</c:v>
          </c:tx>
          <c:spPr>
            <a:ln>
              <a:solidFill>
                <a:schemeClr val="tx1"/>
              </a:solidFill>
              <a:prstDash val="solid"/>
            </a:ln>
          </c:spPr>
          <c:marker>
            <c:symbol val="none"/>
          </c:marker>
          <c:xVal>
            <c:numRef>
              <c:f>Sheet1!$C$3:$C$5</c:f>
              <c:numCache>
                <c:formatCode>0.00</c:formatCode>
                <c:ptCount val="3"/>
                <c:pt idx="0">
                  <c:v>12.8</c:v>
                </c:pt>
                <c:pt idx="1">
                  <c:v>51</c:v>
                </c:pt>
                <c:pt idx="2">
                  <c:v>62.2</c:v>
                </c:pt>
              </c:numCache>
            </c:numRef>
          </c:xVal>
          <c:yVal>
            <c:numRef>
              <c:f>Sheet1!$D$3:$D$5</c:f>
              <c:numCache>
                <c:formatCode>0.00</c:formatCode>
                <c:ptCount val="3"/>
                <c:pt idx="0">
                  <c:v>13.9</c:v>
                </c:pt>
                <c:pt idx="1">
                  <c:v>13.9</c:v>
                </c:pt>
                <c:pt idx="2">
                  <c:v>13.9</c:v>
                </c:pt>
              </c:numCache>
            </c:numRef>
          </c:yVal>
          <c:smooth val="1"/>
        </c:ser>
        <c:ser>
          <c:idx val="3"/>
          <c:order val="3"/>
          <c:tx>
            <c:v>Drilling Envelope</c:v>
          </c:tx>
          <c:spPr>
            <a:ln>
              <a:solidFill>
                <a:schemeClr val="tx1"/>
              </a:solidFill>
              <a:prstDash val="sysDash"/>
            </a:ln>
          </c:spPr>
          <c:marker>
            <c:symbol val="none"/>
          </c:marker>
          <c:xVal>
            <c:numRef>
              <c:f>Sheet1!$C$3:$C$5</c:f>
              <c:numCache>
                <c:formatCode>0.00</c:formatCode>
                <c:ptCount val="3"/>
                <c:pt idx="0">
                  <c:v>12.8</c:v>
                </c:pt>
                <c:pt idx="1">
                  <c:v>51</c:v>
                </c:pt>
                <c:pt idx="2">
                  <c:v>62.2</c:v>
                </c:pt>
              </c:numCache>
            </c:numRef>
          </c:xVal>
          <c:yVal>
            <c:numRef>
              <c:f>Sheet1!$E$3:$E$5</c:f>
              <c:numCache>
                <c:formatCode>0.00</c:formatCode>
                <c:ptCount val="3"/>
                <c:pt idx="0">
                  <c:v>13.9</c:v>
                </c:pt>
                <c:pt idx="1">
                  <c:v>3.3</c:v>
                </c:pt>
                <c:pt idx="2">
                  <c:v>1</c:v>
                </c:pt>
              </c:numCache>
            </c:numRef>
          </c:yVal>
          <c:smooth val="1"/>
        </c:ser>
        <c:ser>
          <c:idx val="0"/>
          <c:order val="0"/>
          <c:tx>
            <c:v>Failure Envelope</c:v>
          </c:tx>
          <c:spPr>
            <a:ln>
              <a:solidFill>
                <a:schemeClr val="tx1"/>
              </a:solidFill>
              <a:prstDash val="solid"/>
            </a:ln>
          </c:spPr>
          <c:marker>
            <c:symbol val="none"/>
          </c:marker>
          <c:xVal>
            <c:numRef>
              <c:f>Sheet1!$C$3:$C$5</c:f>
              <c:numCache>
                <c:formatCode>0.00</c:formatCode>
                <c:ptCount val="3"/>
                <c:pt idx="0">
                  <c:v>12.8</c:v>
                </c:pt>
                <c:pt idx="1">
                  <c:v>51</c:v>
                </c:pt>
                <c:pt idx="2">
                  <c:v>62.2</c:v>
                </c:pt>
              </c:numCache>
            </c:numRef>
          </c:xVal>
          <c:yVal>
            <c:numRef>
              <c:f>Sheet1!$D$3:$D$5</c:f>
              <c:numCache>
                <c:formatCode>0.00</c:formatCode>
                <c:ptCount val="3"/>
                <c:pt idx="0">
                  <c:v>13.9</c:v>
                </c:pt>
                <c:pt idx="1">
                  <c:v>13.9</c:v>
                </c:pt>
                <c:pt idx="2">
                  <c:v>13.9</c:v>
                </c:pt>
              </c:numCache>
            </c:numRef>
          </c:yVal>
          <c:smooth val="1"/>
        </c:ser>
        <c:ser>
          <c:idx val="1"/>
          <c:order val="1"/>
          <c:tx>
            <c:v>Drilling Envelope</c:v>
          </c:tx>
          <c:spPr>
            <a:ln>
              <a:solidFill>
                <a:schemeClr val="tx1"/>
              </a:solidFill>
              <a:prstDash val="sysDash"/>
            </a:ln>
          </c:spPr>
          <c:marker>
            <c:symbol val="none"/>
          </c:marker>
          <c:xVal>
            <c:numRef>
              <c:f>Sheet1!$C$3:$C$5</c:f>
              <c:numCache>
                <c:formatCode>0.00</c:formatCode>
                <c:ptCount val="3"/>
                <c:pt idx="0">
                  <c:v>12.8</c:v>
                </c:pt>
                <c:pt idx="1">
                  <c:v>51</c:v>
                </c:pt>
                <c:pt idx="2">
                  <c:v>62.2</c:v>
                </c:pt>
              </c:numCache>
            </c:numRef>
          </c:xVal>
          <c:yVal>
            <c:numRef>
              <c:f>Sheet1!$E$3:$E$5</c:f>
              <c:numCache>
                <c:formatCode>0.00</c:formatCode>
                <c:ptCount val="3"/>
                <c:pt idx="0">
                  <c:v>13.9</c:v>
                </c:pt>
                <c:pt idx="1">
                  <c:v>3.3</c:v>
                </c:pt>
                <c:pt idx="2">
                  <c:v>1</c:v>
                </c:pt>
              </c:numCache>
            </c:numRef>
          </c:yVal>
          <c:smooth val="1"/>
        </c:ser>
        <c:dLbls>
          <c:showLegendKey val="0"/>
          <c:showVal val="0"/>
          <c:showCatName val="0"/>
          <c:showSerName val="0"/>
          <c:showPercent val="0"/>
          <c:showBubbleSize val="0"/>
        </c:dLbls>
        <c:axId val="84852736"/>
        <c:axId val="84854272"/>
      </c:scatterChart>
      <c:valAx>
        <c:axId val="84852736"/>
        <c:scaling>
          <c:orientation val="minMax"/>
          <c:max val="80"/>
        </c:scaling>
        <c:delete val="0"/>
        <c:axPos val="b"/>
        <c:majorGridlines/>
        <c:numFmt formatCode="0" sourceLinked="0"/>
        <c:majorTickMark val="out"/>
        <c:minorTickMark val="none"/>
        <c:tickLblPos val="nextTo"/>
        <c:txPr>
          <a:bodyPr/>
          <a:lstStyle/>
          <a:p>
            <a:pPr>
              <a:defRPr sz="1100" b="1"/>
            </a:pPr>
            <a:endParaRPr lang="en-US"/>
          </a:p>
        </c:txPr>
        <c:crossAx val="84854272"/>
        <c:crosses val="autoZero"/>
        <c:crossBetween val="midCat"/>
        <c:majorUnit val="10"/>
      </c:valAx>
      <c:valAx>
        <c:axId val="84854272"/>
        <c:scaling>
          <c:orientation val="minMax"/>
          <c:max val="18"/>
        </c:scaling>
        <c:delete val="0"/>
        <c:axPos val="l"/>
        <c:majorGridlines/>
        <c:numFmt formatCode="0" sourceLinked="0"/>
        <c:majorTickMark val="out"/>
        <c:minorTickMark val="none"/>
        <c:tickLblPos val="low"/>
        <c:txPr>
          <a:bodyPr/>
          <a:lstStyle/>
          <a:p>
            <a:pPr>
              <a:defRPr sz="1100" b="1"/>
            </a:pPr>
            <a:endParaRPr lang="en-US"/>
          </a:p>
        </c:txPr>
        <c:crossAx val="84852736"/>
        <c:crosses val="autoZero"/>
        <c:crossBetween val="midCat"/>
      </c:valAx>
    </c:plotArea>
    <c:legend>
      <c:legendPos val="r"/>
      <c:layout>
        <c:manualLayout>
          <c:xMode val="edge"/>
          <c:yMode val="edge"/>
          <c:x val="0.13370444424783984"/>
          <c:y val="1.5564342979418633E-2"/>
          <c:w val="0.76743094753605245"/>
          <c:h val="5.4976049868766405E-2"/>
        </c:manualLayout>
      </c:layout>
      <c:overlay val="0"/>
      <c:txPr>
        <a:bodyPr/>
        <a:lstStyle/>
        <a:p>
          <a:pPr>
            <a:defRPr sz="1200" b="1"/>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155858326698"/>
          <c:y val="0.14648936428895801"/>
          <c:w val="0.68504597599457373"/>
          <c:h val="0.65715530628889351"/>
        </c:manualLayout>
      </c:layout>
      <c:scatterChart>
        <c:scatterStyle val="smoothMarker"/>
        <c:varyColors val="0"/>
        <c:ser>
          <c:idx val="0"/>
          <c:order val="0"/>
          <c:tx>
            <c:v>Failure Envelope</c:v>
          </c:tx>
          <c:spPr>
            <a:ln>
              <a:solidFill>
                <a:schemeClr val="tx1"/>
              </a:solidFill>
              <a:prstDash val="solid"/>
            </a:ln>
          </c:spPr>
          <c:marker>
            <c:symbol val="none"/>
          </c:marker>
          <c:xVal>
            <c:numRef>
              <c:f>Sheet1!$F$3:$F$5</c:f>
              <c:numCache>
                <c:formatCode>0.00</c:formatCode>
                <c:ptCount val="3"/>
                <c:pt idx="0">
                  <c:v>17.7</c:v>
                </c:pt>
                <c:pt idx="1">
                  <c:v>51</c:v>
                </c:pt>
                <c:pt idx="2">
                  <c:v>62.2</c:v>
                </c:pt>
              </c:numCache>
            </c:numRef>
          </c:xVal>
          <c:yVal>
            <c:numRef>
              <c:f>Sheet1!$G$3:$G$5</c:f>
              <c:numCache>
                <c:formatCode>0.00</c:formatCode>
                <c:ptCount val="3"/>
                <c:pt idx="0">
                  <c:v>16.2</c:v>
                </c:pt>
                <c:pt idx="1">
                  <c:v>16.2</c:v>
                </c:pt>
                <c:pt idx="2">
                  <c:v>16.2</c:v>
                </c:pt>
              </c:numCache>
            </c:numRef>
          </c:yVal>
          <c:smooth val="1"/>
        </c:ser>
        <c:ser>
          <c:idx val="1"/>
          <c:order val="1"/>
          <c:tx>
            <c:v>Drilling Envelope</c:v>
          </c:tx>
          <c:spPr>
            <a:ln>
              <a:solidFill>
                <a:schemeClr val="tx1"/>
              </a:solidFill>
              <a:prstDash val="sysDash"/>
            </a:ln>
          </c:spPr>
          <c:marker>
            <c:symbol val="none"/>
          </c:marker>
          <c:xVal>
            <c:numRef>
              <c:f>Sheet1!$F$3:$F$5</c:f>
              <c:numCache>
                <c:formatCode>0.00</c:formatCode>
                <c:ptCount val="3"/>
                <c:pt idx="0">
                  <c:v>17.7</c:v>
                </c:pt>
                <c:pt idx="1">
                  <c:v>51</c:v>
                </c:pt>
                <c:pt idx="2">
                  <c:v>62.2</c:v>
                </c:pt>
              </c:numCache>
            </c:numRef>
          </c:xVal>
          <c:yVal>
            <c:numRef>
              <c:f>Sheet1!$H$3:$H$5</c:f>
              <c:numCache>
                <c:formatCode>0.00</c:formatCode>
                <c:ptCount val="3"/>
                <c:pt idx="0">
                  <c:v>16.2</c:v>
                </c:pt>
                <c:pt idx="1">
                  <c:v>6</c:v>
                </c:pt>
                <c:pt idx="2">
                  <c:v>2.6</c:v>
                </c:pt>
              </c:numCache>
            </c:numRef>
          </c:yVal>
          <c:smooth val="1"/>
        </c:ser>
        <c:dLbls>
          <c:showLegendKey val="0"/>
          <c:showVal val="0"/>
          <c:showCatName val="0"/>
          <c:showSerName val="0"/>
          <c:showPercent val="0"/>
          <c:showBubbleSize val="0"/>
        </c:dLbls>
        <c:axId val="85732352"/>
        <c:axId val="85738240"/>
      </c:scatterChart>
      <c:valAx>
        <c:axId val="85732352"/>
        <c:scaling>
          <c:orientation val="minMax"/>
          <c:max val="80"/>
        </c:scaling>
        <c:delete val="0"/>
        <c:axPos val="b"/>
        <c:majorGridlines/>
        <c:numFmt formatCode="0" sourceLinked="0"/>
        <c:majorTickMark val="out"/>
        <c:minorTickMark val="none"/>
        <c:tickLblPos val="nextTo"/>
        <c:txPr>
          <a:bodyPr/>
          <a:lstStyle/>
          <a:p>
            <a:pPr>
              <a:defRPr sz="1100" b="1"/>
            </a:pPr>
            <a:endParaRPr lang="en-US"/>
          </a:p>
        </c:txPr>
        <c:crossAx val="85738240"/>
        <c:crosses val="autoZero"/>
        <c:crossBetween val="midCat"/>
        <c:majorUnit val="10"/>
      </c:valAx>
      <c:valAx>
        <c:axId val="85738240"/>
        <c:scaling>
          <c:orientation val="minMax"/>
          <c:max val="18"/>
        </c:scaling>
        <c:delete val="0"/>
        <c:axPos val="l"/>
        <c:majorGridlines/>
        <c:numFmt formatCode="0" sourceLinked="0"/>
        <c:majorTickMark val="out"/>
        <c:minorTickMark val="none"/>
        <c:tickLblPos val="low"/>
        <c:txPr>
          <a:bodyPr/>
          <a:lstStyle/>
          <a:p>
            <a:pPr>
              <a:defRPr sz="1100" b="1"/>
            </a:pPr>
            <a:endParaRPr lang="en-US"/>
          </a:p>
        </c:txPr>
        <c:crossAx val="85732352"/>
        <c:crosses val="autoZero"/>
        <c:crossBetween val="midCat"/>
      </c:valAx>
    </c:plotArea>
    <c:legend>
      <c:legendPos val="r"/>
      <c:layout>
        <c:manualLayout>
          <c:xMode val="edge"/>
          <c:yMode val="edge"/>
          <c:x val="0.13370444424783984"/>
          <c:y val="1.5564342979418633E-2"/>
          <c:w val="0.76743094753605245"/>
          <c:h val="7.58093846094193E-2"/>
        </c:manualLayout>
      </c:layout>
      <c:overlay val="0"/>
      <c:txPr>
        <a:bodyPr/>
        <a:lstStyle/>
        <a:p>
          <a:pPr>
            <a:defRPr sz="1200" b="1"/>
          </a:pPr>
          <a:endParaRPr lang="en-US"/>
        </a:p>
      </c:txPr>
    </c:legend>
    <c:plotVisOnly val="1"/>
    <c:dispBlanksAs val="gap"/>
    <c:showDLblsOverMax val="0"/>
  </c:chart>
  <c:spPr>
    <a:ln>
      <a:solidFill>
        <a:schemeClr val="tx1"/>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69940709602534"/>
          <c:y val="0.15325240594925635"/>
          <c:w val="0.66810532149616741"/>
          <c:h val="0.67984179060950711"/>
        </c:manualLayout>
      </c:layout>
      <c:scatterChart>
        <c:scatterStyle val="smoothMarker"/>
        <c:varyColors val="0"/>
        <c:ser>
          <c:idx val="0"/>
          <c:order val="0"/>
          <c:tx>
            <c:strRef>
              <c:f>Sheet1!$C$2</c:f>
              <c:strCache>
                <c:ptCount val="1"/>
                <c:pt idx="0">
                  <c:v>OBD-R3</c:v>
                </c:pt>
              </c:strCache>
            </c:strRef>
          </c:tx>
          <c:spPr>
            <a:ln>
              <a:solidFill>
                <a:schemeClr val="tx1"/>
              </a:solidFill>
            </a:ln>
          </c:spPr>
          <c:marker>
            <c:symbol val="circl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Sheet1!$C$3:$C$5</c:f>
              <c:numCache>
                <c:formatCode>General</c:formatCode>
                <c:ptCount val="3"/>
                <c:pt idx="0">
                  <c:v>62.2</c:v>
                </c:pt>
                <c:pt idx="1">
                  <c:v>62.2</c:v>
                </c:pt>
                <c:pt idx="2">
                  <c:v>62.2</c:v>
                </c:pt>
              </c:numCache>
            </c:numRef>
          </c:yVal>
          <c:smooth val="1"/>
        </c:ser>
        <c:ser>
          <c:idx val="1"/>
          <c:order val="1"/>
          <c:tx>
            <c:strRef>
              <c:f>Sheet1!$D$2</c:f>
              <c:strCache>
                <c:ptCount val="1"/>
                <c:pt idx="0">
                  <c:v>UBD-R3</c:v>
                </c:pt>
              </c:strCache>
            </c:strRef>
          </c:tx>
          <c:spPr>
            <a:ln>
              <a:solidFill>
                <a:schemeClr val="tx1"/>
              </a:solidFill>
              <a:prstDash val="sysDash"/>
            </a:ln>
          </c:spPr>
          <c:marker>
            <c:symbol val="circl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Sheet1!$D$3:$D$5</c:f>
              <c:numCache>
                <c:formatCode>General</c:formatCode>
                <c:ptCount val="3"/>
                <c:pt idx="0">
                  <c:v>11.2</c:v>
                </c:pt>
                <c:pt idx="1">
                  <c:v>12.8</c:v>
                </c:pt>
                <c:pt idx="2">
                  <c:v>17.7</c:v>
                </c:pt>
              </c:numCache>
            </c:numRef>
          </c:yVal>
          <c:smooth val="1"/>
        </c:ser>
        <c:ser>
          <c:idx val="2"/>
          <c:order val="2"/>
          <c:tx>
            <c:strRef>
              <c:f>Sheet1!$E$2</c:f>
              <c:strCache>
                <c:ptCount val="1"/>
                <c:pt idx="0">
                  <c:v>OBD-R2</c:v>
                </c:pt>
              </c:strCache>
            </c:strRef>
          </c:tx>
          <c:spPr>
            <a:ln>
              <a:solidFill>
                <a:schemeClr val="tx1"/>
              </a:solidFill>
            </a:ln>
          </c:spPr>
          <c:marker>
            <c:symbol val="triangl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Sheet1!$E$3:$E$5</c:f>
              <c:numCache>
                <c:formatCode>General</c:formatCode>
                <c:ptCount val="3"/>
                <c:pt idx="0">
                  <c:v>59.1</c:v>
                </c:pt>
                <c:pt idx="1">
                  <c:v>59.1</c:v>
                </c:pt>
                <c:pt idx="2">
                  <c:v>59.1</c:v>
                </c:pt>
              </c:numCache>
            </c:numRef>
          </c:yVal>
          <c:smooth val="1"/>
        </c:ser>
        <c:ser>
          <c:idx val="3"/>
          <c:order val="3"/>
          <c:tx>
            <c:strRef>
              <c:f>Sheet1!$F$2</c:f>
              <c:strCache>
                <c:ptCount val="1"/>
                <c:pt idx="0">
                  <c:v>UBD-R2</c:v>
                </c:pt>
              </c:strCache>
            </c:strRef>
          </c:tx>
          <c:spPr>
            <a:ln>
              <a:solidFill>
                <a:schemeClr val="tx1"/>
              </a:solidFill>
              <a:prstDash val="sysDash"/>
            </a:ln>
          </c:spPr>
          <c:marker>
            <c:symbol val="triangl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Sheet1!$F$3:$F$5</c:f>
              <c:numCache>
                <c:formatCode>General</c:formatCode>
                <c:ptCount val="3"/>
                <c:pt idx="0">
                  <c:v>21.8</c:v>
                </c:pt>
                <c:pt idx="1">
                  <c:v>23.5</c:v>
                </c:pt>
                <c:pt idx="2">
                  <c:v>34.4</c:v>
                </c:pt>
              </c:numCache>
            </c:numRef>
          </c:yVal>
          <c:smooth val="1"/>
        </c:ser>
        <c:ser>
          <c:idx val="4"/>
          <c:order val="4"/>
          <c:tx>
            <c:strRef>
              <c:f>Sheet1!$G$2</c:f>
              <c:strCache>
                <c:ptCount val="1"/>
                <c:pt idx="0">
                  <c:v>OBD-R1</c:v>
                </c:pt>
              </c:strCache>
            </c:strRef>
          </c:tx>
          <c:spPr>
            <a:ln>
              <a:solidFill>
                <a:schemeClr val="tx1"/>
              </a:solidFill>
              <a:prstDash val="solid"/>
            </a:ln>
          </c:spPr>
          <c:marker>
            <c:symbol val="squar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Sheet1!$G$3:$G$5</c:f>
              <c:numCache>
                <c:formatCode>General</c:formatCode>
                <c:ptCount val="3"/>
                <c:pt idx="0">
                  <c:v>54.2</c:v>
                </c:pt>
                <c:pt idx="1">
                  <c:v>54.2</c:v>
                </c:pt>
                <c:pt idx="2">
                  <c:v>54.2</c:v>
                </c:pt>
              </c:numCache>
            </c:numRef>
          </c:yVal>
          <c:smooth val="1"/>
        </c:ser>
        <c:ser>
          <c:idx val="5"/>
          <c:order val="5"/>
          <c:tx>
            <c:strRef>
              <c:f>Sheet1!$H$2</c:f>
              <c:strCache>
                <c:ptCount val="1"/>
                <c:pt idx="0">
                  <c:v>UBD-R1</c:v>
                </c:pt>
              </c:strCache>
            </c:strRef>
          </c:tx>
          <c:spPr>
            <a:ln>
              <a:solidFill>
                <a:schemeClr val="tx1"/>
              </a:solidFill>
              <a:prstDash val="sysDash"/>
            </a:ln>
          </c:spPr>
          <c:marker>
            <c:symbol val="square"/>
            <c:size val="5"/>
            <c:spPr>
              <a:solidFill>
                <a:schemeClr val="tx1"/>
              </a:solidFill>
              <a:ln>
                <a:solidFill>
                  <a:schemeClr val="tx1"/>
                </a:solidFill>
              </a:ln>
            </c:spPr>
          </c:marker>
          <c:xVal>
            <c:strRef>
              <c:f>Sheet1!$B$3:$B$5</c:f>
              <c:strCache>
                <c:ptCount val="3"/>
                <c:pt idx="0">
                  <c:v>V</c:v>
                </c:pt>
                <c:pt idx="1">
                  <c:v>Hmin</c:v>
                </c:pt>
                <c:pt idx="2">
                  <c:v>Hmax</c:v>
                </c:pt>
              </c:strCache>
            </c:strRef>
          </c:xVal>
          <c:yVal>
            <c:numRef>
              <c:f>Sheet1!$H$3:$H$5</c:f>
              <c:numCache>
                <c:formatCode>General</c:formatCode>
                <c:ptCount val="3"/>
                <c:pt idx="0">
                  <c:v>31.6</c:v>
                </c:pt>
                <c:pt idx="1">
                  <c:v>33.700000000000003</c:v>
                </c:pt>
                <c:pt idx="2">
                  <c:v>49.1</c:v>
                </c:pt>
              </c:numCache>
            </c:numRef>
          </c:yVal>
          <c:smooth val="1"/>
        </c:ser>
        <c:dLbls>
          <c:showLegendKey val="0"/>
          <c:showVal val="0"/>
          <c:showCatName val="0"/>
          <c:showSerName val="0"/>
          <c:showPercent val="0"/>
          <c:showBubbleSize val="0"/>
        </c:dLbls>
        <c:axId val="85756928"/>
        <c:axId val="85763200"/>
      </c:scatterChart>
      <c:valAx>
        <c:axId val="85756928"/>
        <c:scaling>
          <c:orientation val="minMax"/>
          <c:max val="3"/>
          <c:min val="1"/>
        </c:scaling>
        <c:delete val="0"/>
        <c:axPos val="b"/>
        <c:numFmt formatCode="#,##0" sourceLinked="0"/>
        <c:majorTickMark val="out"/>
        <c:minorTickMark val="none"/>
        <c:tickLblPos val="nextTo"/>
        <c:spPr>
          <a:ln>
            <a:solidFill>
              <a:schemeClr val="tx1"/>
            </a:solidFill>
          </a:ln>
        </c:spPr>
        <c:crossAx val="85763200"/>
        <c:crosses val="autoZero"/>
        <c:crossBetween val="midCat"/>
        <c:majorUnit val="1"/>
      </c:valAx>
      <c:valAx>
        <c:axId val="85763200"/>
        <c:scaling>
          <c:orientation val="minMax"/>
          <c:max val="80"/>
        </c:scaling>
        <c:delete val="0"/>
        <c:axPos val="l"/>
        <c:numFmt formatCode="General" sourceLinked="1"/>
        <c:majorTickMark val="out"/>
        <c:minorTickMark val="none"/>
        <c:tickLblPos val="nextTo"/>
        <c:spPr>
          <a:ln>
            <a:solidFill>
              <a:schemeClr val="tx1"/>
            </a:solidFill>
          </a:ln>
        </c:spPr>
        <c:txPr>
          <a:bodyPr/>
          <a:lstStyle/>
          <a:p>
            <a:pPr>
              <a:defRPr sz="1100" b="1"/>
            </a:pPr>
            <a:endParaRPr lang="en-US"/>
          </a:p>
        </c:txPr>
        <c:crossAx val="85756928"/>
        <c:crosses val="autoZero"/>
        <c:crossBetween val="midCat"/>
      </c:valAx>
      <c:spPr>
        <a:noFill/>
        <a:ln>
          <a:solidFill>
            <a:schemeClr val="tx1"/>
          </a:solidFill>
        </a:ln>
      </c:spPr>
    </c:plotArea>
    <c:legend>
      <c:legendPos val="r"/>
      <c:layout>
        <c:manualLayout>
          <c:xMode val="edge"/>
          <c:yMode val="edge"/>
          <c:x val="3.3337947347062219E-2"/>
          <c:y val="1.3074084019101472E-2"/>
          <c:w val="0.94739403072535522"/>
          <c:h val="0.11091770957828989"/>
        </c:manualLayout>
      </c:layout>
      <c:overlay val="0"/>
      <c:txPr>
        <a:bodyPr/>
        <a:lstStyle/>
        <a:p>
          <a:pPr>
            <a:defRPr lang="en-US" sz="10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ln>
      <a:solidFill>
        <a:schemeClr val="tx1"/>
      </a:solid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0.33035</cdr:x>
      <cdr:y>0.87458</cdr:y>
    </cdr:from>
    <cdr:to>
      <cdr:x>0.66236</cdr:x>
      <cdr:y>0.96222</cdr:y>
    </cdr:to>
    <cdr:sp macro="" textlink="">
      <cdr:nvSpPr>
        <cdr:cNvPr id="2" name="TextBox 1"/>
        <cdr:cNvSpPr txBox="1"/>
      </cdr:nvSpPr>
      <cdr:spPr>
        <a:xfrm xmlns:a="http://schemas.openxmlformats.org/drawingml/2006/main">
          <a:off x="1582733" y="2661568"/>
          <a:ext cx="1590675"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Wellbore Pressure, MPa</a:t>
          </a:r>
        </a:p>
      </cdr:txBody>
    </cdr:sp>
  </cdr:relSizeAnchor>
  <cdr:relSizeAnchor xmlns:cdr="http://schemas.openxmlformats.org/drawingml/2006/chartDrawing">
    <cdr:from>
      <cdr:x>0.07466</cdr:x>
      <cdr:y>0.18743</cdr:y>
    </cdr:from>
    <cdr:to>
      <cdr:x>0.13033</cdr:x>
      <cdr:y>0.75081</cdr:y>
    </cdr:to>
    <cdr:sp macro="" textlink="">
      <cdr:nvSpPr>
        <cdr:cNvPr id="3" name="TextBox 1"/>
        <cdr:cNvSpPr txBox="1"/>
      </cdr:nvSpPr>
      <cdr:spPr>
        <a:xfrm xmlns:a="http://schemas.openxmlformats.org/drawingml/2006/main" rot="16200000">
          <a:off x="-403753" y="1311832"/>
          <a:ext cx="1725052" cy="2491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0.51524</cdr:x>
      <cdr:y>0.56733</cdr:y>
    </cdr:from>
    <cdr:to>
      <cdr:x>0.65573</cdr:x>
      <cdr:y>0.65497</cdr:y>
    </cdr:to>
    <cdr:sp macro="" textlink="">
      <cdr:nvSpPr>
        <cdr:cNvPr id="4" name="TextBox 1"/>
        <cdr:cNvSpPr txBox="1"/>
      </cdr:nvSpPr>
      <cdr:spPr>
        <a:xfrm xmlns:a="http://schemas.openxmlformats.org/drawingml/2006/main" rot="2445873">
          <a:off x="2468557" y="1726530"/>
          <a:ext cx="67310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b="1"/>
            <a:t>Safe</a:t>
          </a:r>
        </a:p>
      </cdr:txBody>
    </cdr:sp>
  </cdr:relSizeAnchor>
  <cdr:relSizeAnchor xmlns:cdr="http://schemas.openxmlformats.org/drawingml/2006/chartDrawing">
    <cdr:from>
      <cdr:x>0.63268</cdr:x>
      <cdr:y>0.49645</cdr:y>
    </cdr:from>
    <cdr:to>
      <cdr:x>0.66449</cdr:x>
      <cdr:y>0.76249</cdr:y>
    </cdr:to>
    <cdr:sp macro="" textlink="">
      <cdr:nvSpPr>
        <cdr:cNvPr id="5" name="TextBox 1"/>
        <cdr:cNvSpPr txBox="1"/>
      </cdr:nvSpPr>
      <cdr:spPr>
        <a:xfrm xmlns:a="http://schemas.openxmlformats.org/drawingml/2006/main" rot="16200000">
          <a:off x="2536108" y="1667561"/>
          <a:ext cx="734869" cy="142405"/>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Lost Circulation</a:t>
          </a:r>
        </a:p>
      </cdr:txBody>
    </cdr:sp>
  </cdr:relSizeAnchor>
  <cdr:relSizeAnchor xmlns:cdr="http://schemas.openxmlformats.org/drawingml/2006/chartDrawing">
    <cdr:from>
      <cdr:x>0.40647</cdr:x>
      <cdr:y>0.42988</cdr:y>
    </cdr:from>
    <cdr:to>
      <cdr:x>0.43828</cdr:x>
      <cdr:y>0.69592</cdr:y>
    </cdr:to>
    <cdr:sp macro="" textlink="">
      <cdr:nvSpPr>
        <cdr:cNvPr id="6" name="TextBox 1"/>
        <cdr:cNvSpPr txBox="1"/>
      </cdr:nvSpPr>
      <cdr:spPr>
        <a:xfrm xmlns:a="http://schemas.openxmlformats.org/drawingml/2006/main" rot="16200000">
          <a:off x="1483284" y="1652386"/>
          <a:ext cx="814606" cy="142385"/>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0.53927</cdr:x>
      <cdr:y>0.08531</cdr:y>
    </cdr:from>
    <cdr:to>
      <cdr:x>0.62313</cdr:x>
      <cdr:y>0.20732</cdr:y>
    </cdr:to>
    <cdr:sp macro="" textlink="">
      <cdr:nvSpPr>
        <cdr:cNvPr id="7" name="TextBox 1"/>
        <cdr:cNvSpPr txBox="1"/>
      </cdr:nvSpPr>
      <cdr:spPr>
        <a:xfrm xmlns:a="http://schemas.openxmlformats.org/drawingml/2006/main">
          <a:off x="2413813" y="261208"/>
          <a:ext cx="375367" cy="373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MPD</a:t>
          </a:r>
        </a:p>
      </cdr:txBody>
    </cdr:sp>
  </cdr:relSizeAnchor>
  <cdr:relSizeAnchor xmlns:cdr="http://schemas.openxmlformats.org/drawingml/2006/chartDrawing">
    <cdr:from>
      <cdr:x>0.64485</cdr:x>
      <cdr:y>0.08643</cdr:y>
    </cdr:from>
    <cdr:to>
      <cdr:x>0.74359</cdr:x>
      <cdr:y>0.20732</cdr:y>
    </cdr:to>
    <cdr:sp macro="" textlink="">
      <cdr:nvSpPr>
        <cdr:cNvPr id="8" name="TextBox 1"/>
        <cdr:cNvSpPr txBox="1"/>
      </cdr:nvSpPr>
      <cdr:spPr>
        <a:xfrm xmlns:a="http://schemas.openxmlformats.org/drawingml/2006/main">
          <a:off x="2886439" y="264638"/>
          <a:ext cx="441971" cy="37016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OBD</a:t>
          </a:r>
        </a:p>
      </cdr:txBody>
    </cdr:sp>
  </cdr:relSizeAnchor>
  <cdr:relSizeAnchor xmlns:cdr="http://schemas.openxmlformats.org/drawingml/2006/chartDrawing">
    <cdr:from>
      <cdr:x>0.45101</cdr:x>
      <cdr:y>0.06631</cdr:y>
    </cdr:from>
    <cdr:to>
      <cdr:x>0.54975</cdr:x>
      <cdr:y>0.19343</cdr:y>
    </cdr:to>
    <cdr:sp macro="" textlink="">
      <cdr:nvSpPr>
        <cdr:cNvPr id="9" name="TextBox 1"/>
        <cdr:cNvSpPr txBox="1"/>
      </cdr:nvSpPr>
      <cdr:spPr>
        <a:xfrm xmlns:a="http://schemas.openxmlformats.org/drawingml/2006/main">
          <a:off x="2018760" y="203039"/>
          <a:ext cx="441972" cy="389238"/>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UBD</a:t>
          </a:r>
        </a:p>
      </cdr:txBody>
    </cdr:sp>
  </cdr:relSizeAnchor>
</c:userShapes>
</file>

<file path=word/drawings/drawing2.xml><?xml version="1.0" encoding="utf-8"?>
<c:userShapes xmlns:c="http://schemas.openxmlformats.org/drawingml/2006/chart">
  <cdr:relSizeAnchor xmlns:cdr="http://schemas.openxmlformats.org/drawingml/2006/chartDrawing">
    <cdr:from>
      <cdr:x>0.29842</cdr:x>
      <cdr:y>0.85175</cdr:y>
    </cdr:from>
    <cdr:to>
      <cdr:x>0.65911</cdr:x>
      <cdr:y>0.93994</cdr:y>
    </cdr:to>
    <cdr:sp macro="" textlink="">
      <cdr:nvSpPr>
        <cdr:cNvPr id="2" name="TextBox 1"/>
        <cdr:cNvSpPr txBox="1"/>
      </cdr:nvSpPr>
      <cdr:spPr>
        <a:xfrm xmlns:a="http://schemas.openxmlformats.org/drawingml/2006/main">
          <a:off x="1316033" y="2575843"/>
          <a:ext cx="1590675"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Wellbore Pressure, MPa</a:t>
          </a:r>
        </a:p>
      </cdr:txBody>
    </cdr:sp>
  </cdr:relSizeAnchor>
  <cdr:relSizeAnchor xmlns:cdr="http://schemas.openxmlformats.org/drawingml/2006/chartDrawing">
    <cdr:from>
      <cdr:x>0.03528</cdr:x>
      <cdr:y>0.18088</cdr:y>
    </cdr:from>
    <cdr:to>
      <cdr:x>0.09575</cdr:x>
      <cdr:y>0.74781</cdr:y>
    </cdr:to>
    <cdr:sp macro="" textlink="">
      <cdr:nvSpPr>
        <cdr:cNvPr id="3" name="TextBox 1"/>
        <cdr:cNvSpPr txBox="1"/>
      </cdr:nvSpPr>
      <cdr:spPr>
        <a:xfrm xmlns:a="http://schemas.openxmlformats.org/drawingml/2006/main" rot="16200000">
          <a:off x="-568324" y="1270921"/>
          <a:ext cx="1714501"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0.47552</cdr:x>
      <cdr:y>0.50477</cdr:y>
    </cdr:from>
    <cdr:to>
      <cdr:x>0.62815</cdr:x>
      <cdr:y>0.59295</cdr:y>
    </cdr:to>
    <cdr:sp macro="" textlink="">
      <cdr:nvSpPr>
        <cdr:cNvPr id="4" name="TextBox 1"/>
        <cdr:cNvSpPr txBox="1"/>
      </cdr:nvSpPr>
      <cdr:spPr>
        <a:xfrm xmlns:a="http://schemas.openxmlformats.org/drawingml/2006/main" rot="2300007">
          <a:off x="2097079" y="1526506"/>
          <a:ext cx="673100"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b="1"/>
            <a:t>Safe Drilling</a:t>
          </a:r>
        </a:p>
      </cdr:txBody>
    </cdr:sp>
  </cdr:relSizeAnchor>
  <cdr:relSizeAnchor xmlns:cdr="http://schemas.openxmlformats.org/drawingml/2006/chartDrawing">
    <cdr:from>
      <cdr:x>0.66775</cdr:x>
      <cdr:y>0.49269</cdr:y>
    </cdr:from>
    <cdr:to>
      <cdr:x>0.70231</cdr:x>
      <cdr:y>0.76041</cdr:y>
    </cdr:to>
    <cdr:sp macro="" textlink="">
      <cdr:nvSpPr>
        <cdr:cNvPr id="5" name="TextBox 1"/>
        <cdr:cNvSpPr txBox="1"/>
      </cdr:nvSpPr>
      <cdr:spPr>
        <a:xfrm xmlns:a="http://schemas.openxmlformats.org/drawingml/2006/main" rot="16200000">
          <a:off x="2616206" y="1818602"/>
          <a:ext cx="809625" cy="152404"/>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Lost Circulation</a:t>
          </a:r>
        </a:p>
      </cdr:txBody>
    </cdr:sp>
  </cdr:relSizeAnchor>
  <cdr:relSizeAnchor xmlns:cdr="http://schemas.openxmlformats.org/drawingml/2006/chartDrawing">
    <cdr:from>
      <cdr:x>0.30346</cdr:x>
      <cdr:y>0.29374</cdr:y>
    </cdr:from>
    <cdr:to>
      <cdr:x>0.33801</cdr:x>
      <cdr:y>0.56146</cdr:y>
    </cdr:to>
    <cdr:sp macro="" textlink="">
      <cdr:nvSpPr>
        <cdr:cNvPr id="6" name="TextBox 1"/>
        <cdr:cNvSpPr txBox="1"/>
      </cdr:nvSpPr>
      <cdr:spPr>
        <a:xfrm xmlns:a="http://schemas.openxmlformats.org/drawingml/2006/main" rot="16200000">
          <a:off x="1009654" y="1216944"/>
          <a:ext cx="809625" cy="152404"/>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0.52787</cdr:x>
      <cdr:y>0.083</cdr:y>
    </cdr:from>
    <cdr:to>
      <cdr:x>0.61897</cdr:x>
      <cdr:y>0.20829</cdr:y>
    </cdr:to>
    <cdr:sp macro="" textlink="">
      <cdr:nvSpPr>
        <cdr:cNvPr id="7" name="TextBox 1"/>
        <cdr:cNvSpPr txBox="1"/>
      </cdr:nvSpPr>
      <cdr:spPr>
        <a:xfrm xmlns:a="http://schemas.openxmlformats.org/drawingml/2006/main">
          <a:off x="2328951" y="263840"/>
          <a:ext cx="401932" cy="39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MPD</a:t>
          </a:r>
        </a:p>
      </cdr:txBody>
    </cdr:sp>
  </cdr:relSizeAnchor>
  <cdr:relSizeAnchor xmlns:cdr="http://schemas.openxmlformats.org/drawingml/2006/chartDrawing">
    <cdr:from>
      <cdr:x>0.62844</cdr:x>
      <cdr:y>0.08009</cdr:y>
    </cdr:from>
    <cdr:to>
      <cdr:x>0.73571</cdr:x>
      <cdr:y>0.19812</cdr:y>
    </cdr:to>
    <cdr:sp macro="" textlink="">
      <cdr:nvSpPr>
        <cdr:cNvPr id="8" name="TextBox 1"/>
        <cdr:cNvSpPr txBox="1"/>
      </cdr:nvSpPr>
      <cdr:spPr>
        <a:xfrm xmlns:a="http://schemas.openxmlformats.org/drawingml/2006/main">
          <a:off x="2771454" y="242182"/>
          <a:ext cx="473068" cy="3569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OBD</a:t>
          </a:r>
        </a:p>
      </cdr:txBody>
    </cdr:sp>
  </cdr:relSizeAnchor>
  <cdr:relSizeAnchor xmlns:cdr="http://schemas.openxmlformats.org/drawingml/2006/chartDrawing">
    <cdr:from>
      <cdr:x>0.40493</cdr:x>
      <cdr:y>0.04519</cdr:y>
    </cdr:from>
    <cdr:to>
      <cdr:x>0.5122</cdr:x>
      <cdr:y>0.20507</cdr:y>
    </cdr:to>
    <cdr:sp macro="" textlink="">
      <cdr:nvSpPr>
        <cdr:cNvPr id="9" name="TextBox 1"/>
        <cdr:cNvSpPr txBox="1"/>
      </cdr:nvSpPr>
      <cdr:spPr>
        <a:xfrm xmlns:a="http://schemas.openxmlformats.org/drawingml/2006/main">
          <a:off x="1785787" y="136636"/>
          <a:ext cx="473068" cy="483476"/>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UBD</a:t>
          </a:r>
        </a:p>
      </cdr:txBody>
    </cdr:sp>
  </cdr:relSizeAnchor>
</c:userShapes>
</file>

<file path=word/drawings/drawing3.xml><?xml version="1.0" encoding="utf-8"?>
<c:userShapes xmlns:c="http://schemas.openxmlformats.org/drawingml/2006/chart">
  <cdr:relSizeAnchor xmlns:cdr="http://schemas.openxmlformats.org/drawingml/2006/chartDrawing">
    <cdr:from>
      <cdr:x>0.53483</cdr:x>
      <cdr:y>0.90297</cdr:y>
    </cdr:from>
    <cdr:to>
      <cdr:x>0.75056</cdr:x>
      <cdr:y>1</cdr:y>
    </cdr:to>
    <cdr:sp macro="" textlink="">
      <cdr:nvSpPr>
        <cdr:cNvPr id="3" name="TextBox 2"/>
        <cdr:cNvSpPr txBox="1"/>
      </cdr:nvSpPr>
      <cdr:spPr>
        <a:xfrm xmlns:a="http://schemas.openxmlformats.org/drawingml/2006/main">
          <a:off x="2266951" y="2747962"/>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0.33708</cdr:x>
      <cdr:y>0.87167</cdr:y>
    </cdr:from>
    <cdr:to>
      <cdr:x>0.71236</cdr:x>
      <cdr:y>0.95931</cdr:y>
    </cdr:to>
    <cdr:sp macro="" textlink="">
      <cdr:nvSpPr>
        <cdr:cNvPr id="4" name="TextBox 3"/>
        <cdr:cNvSpPr txBox="1"/>
      </cdr:nvSpPr>
      <cdr:spPr>
        <a:xfrm xmlns:a="http://schemas.openxmlformats.org/drawingml/2006/main">
          <a:off x="1428750" y="2652714"/>
          <a:ext cx="1590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Wellbore Pressure, MPa</a:t>
          </a:r>
        </a:p>
      </cdr:txBody>
    </cdr:sp>
  </cdr:relSizeAnchor>
  <cdr:relSizeAnchor xmlns:cdr="http://schemas.openxmlformats.org/drawingml/2006/chartDrawing">
    <cdr:from>
      <cdr:x>0.05656</cdr:x>
      <cdr:y>0.16119</cdr:y>
    </cdr:from>
    <cdr:to>
      <cdr:x>0.11948</cdr:x>
      <cdr:y>0.72457</cdr:y>
    </cdr:to>
    <cdr:sp macro="" textlink="">
      <cdr:nvSpPr>
        <cdr:cNvPr id="5" name="TextBox 1"/>
        <cdr:cNvSpPr txBox="1"/>
      </cdr:nvSpPr>
      <cdr:spPr>
        <a:xfrm xmlns:a="http://schemas.openxmlformats.org/drawingml/2006/main" rot="16200000">
          <a:off x="-484184" y="1214442"/>
          <a:ext cx="1714501"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0.46538</cdr:x>
      <cdr:y>0.42176</cdr:y>
    </cdr:from>
    <cdr:to>
      <cdr:x>0.62418</cdr:x>
      <cdr:y>0.5094</cdr:y>
    </cdr:to>
    <cdr:sp macro="" textlink="">
      <cdr:nvSpPr>
        <cdr:cNvPr id="6" name="TextBox 1"/>
        <cdr:cNvSpPr txBox="1"/>
      </cdr:nvSpPr>
      <cdr:spPr>
        <a:xfrm xmlns:a="http://schemas.openxmlformats.org/drawingml/2006/main" rot="2445873">
          <a:off x="1972561" y="1283380"/>
          <a:ext cx="673094" cy="2666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b="1"/>
            <a:t>Safe Drilling</a:t>
          </a:r>
        </a:p>
      </cdr:txBody>
    </cdr:sp>
  </cdr:relSizeAnchor>
  <cdr:relSizeAnchor xmlns:cdr="http://schemas.openxmlformats.org/drawingml/2006/chartDrawing">
    <cdr:from>
      <cdr:x>0.72888</cdr:x>
      <cdr:y>0.49802</cdr:y>
    </cdr:from>
    <cdr:to>
      <cdr:x>0.76484</cdr:x>
      <cdr:y>0.76406</cdr:y>
    </cdr:to>
    <cdr:sp macro="" textlink="">
      <cdr:nvSpPr>
        <cdr:cNvPr id="7" name="TextBox 1"/>
        <cdr:cNvSpPr txBox="1"/>
      </cdr:nvSpPr>
      <cdr:spPr>
        <a:xfrm xmlns:a="http://schemas.openxmlformats.org/drawingml/2006/main" rot="16200000">
          <a:off x="2760876" y="1843990"/>
          <a:ext cx="809538" cy="152421"/>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Lost Circulation</a:t>
          </a:r>
        </a:p>
      </cdr:txBody>
    </cdr:sp>
  </cdr:relSizeAnchor>
  <cdr:relSizeAnchor xmlns:cdr="http://schemas.openxmlformats.org/drawingml/2006/chartDrawing">
    <cdr:from>
      <cdr:x>0.2412</cdr:x>
      <cdr:y>0.18884</cdr:y>
    </cdr:from>
    <cdr:to>
      <cdr:x>0.27716</cdr:x>
      <cdr:y>0.45488</cdr:y>
    </cdr:to>
    <cdr:sp macro="" textlink="">
      <cdr:nvSpPr>
        <cdr:cNvPr id="8" name="TextBox 1"/>
        <cdr:cNvSpPr txBox="1"/>
      </cdr:nvSpPr>
      <cdr:spPr>
        <a:xfrm xmlns:a="http://schemas.openxmlformats.org/drawingml/2006/main" rot="16200000">
          <a:off x="693745" y="903290"/>
          <a:ext cx="809625" cy="152404"/>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0.55801</cdr:x>
      <cdr:y>0.07289</cdr:y>
    </cdr:from>
    <cdr:to>
      <cdr:x>0.6528</cdr:x>
      <cdr:y>0.16396</cdr:y>
    </cdr:to>
    <cdr:sp macro="" textlink="">
      <cdr:nvSpPr>
        <cdr:cNvPr id="9" name="TextBox 1"/>
        <cdr:cNvSpPr txBox="1"/>
      </cdr:nvSpPr>
      <cdr:spPr>
        <a:xfrm xmlns:a="http://schemas.openxmlformats.org/drawingml/2006/main">
          <a:off x="2365216" y="221785"/>
          <a:ext cx="401779" cy="2771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MPD</a:t>
          </a:r>
        </a:p>
      </cdr:txBody>
    </cdr:sp>
  </cdr:relSizeAnchor>
  <cdr:relSizeAnchor xmlns:cdr="http://schemas.openxmlformats.org/drawingml/2006/chartDrawing">
    <cdr:from>
      <cdr:x>0.64791</cdr:x>
      <cdr:y>0.07282</cdr:y>
    </cdr:from>
    <cdr:to>
      <cdr:x>0.75952</cdr:x>
      <cdr:y>0.17611</cdr:y>
    </cdr:to>
    <cdr:sp macro="" textlink="">
      <cdr:nvSpPr>
        <cdr:cNvPr id="10" name="TextBox 1"/>
        <cdr:cNvSpPr txBox="1"/>
      </cdr:nvSpPr>
      <cdr:spPr>
        <a:xfrm xmlns:a="http://schemas.openxmlformats.org/drawingml/2006/main">
          <a:off x="2746256" y="221589"/>
          <a:ext cx="473073" cy="3143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OBD</a:t>
          </a:r>
        </a:p>
      </cdr:txBody>
    </cdr:sp>
  </cdr:relSizeAnchor>
  <cdr:relSizeAnchor xmlns:cdr="http://schemas.openxmlformats.org/drawingml/2006/chartDrawing">
    <cdr:from>
      <cdr:x>0.3951</cdr:x>
      <cdr:y>0.07944</cdr:y>
    </cdr:from>
    <cdr:to>
      <cdr:x>0.50671</cdr:x>
      <cdr:y>0.16579</cdr:y>
    </cdr:to>
    <cdr:sp macro="" textlink="">
      <cdr:nvSpPr>
        <cdr:cNvPr id="11" name="TextBox 1"/>
        <cdr:cNvSpPr txBox="1"/>
      </cdr:nvSpPr>
      <cdr:spPr>
        <a:xfrm xmlns:a="http://schemas.openxmlformats.org/drawingml/2006/main">
          <a:off x="1674667" y="241730"/>
          <a:ext cx="473073" cy="262756"/>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UBD</a:t>
          </a:r>
        </a:p>
      </cdr:txBody>
    </cdr:sp>
  </cdr:relSizeAnchor>
</c:userShapes>
</file>

<file path=word/drawings/drawing4.xml><?xml version="1.0" encoding="utf-8"?>
<c:userShapes xmlns:c="http://schemas.openxmlformats.org/drawingml/2006/chart">
  <cdr:relSizeAnchor xmlns:cdr="http://schemas.openxmlformats.org/drawingml/2006/chartDrawing">
    <cdr:from>
      <cdr:x>0.0685</cdr:x>
      <cdr:y>0.18996</cdr:y>
    </cdr:from>
    <cdr:to>
      <cdr:x>0.12683</cdr:x>
      <cdr:y>0.74349</cdr:y>
    </cdr:to>
    <cdr:sp macro="" textlink="">
      <cdr:nvSpPr>
        <cdr:cNvPr id="2" name="TextBox 1"/>
        <cdr:cNvSpPr txBox="1"/>
      </cdr:nvSpPr>
      <cdr:spPr>
        <a:xfrm xmlns:a="http://schemas.openxmlformats.org/drawingml/2006/main" rot="16200000">
          <a:off x="-347130" y="1157245"/>
          <a:ext cx="1518451" cy="2461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Pwc = (Pw</a:t>
          </a:r>
          <a:r>
            <a:rPr lang="en-US" sz="1200" b="1" baseline="0"/>
            <a:t> - Pp)</a:t>
          </a:r>
          <a:r>
            <a:rPr lang="en-US" sz="1200" b="1"/>
            <a:t>, MPa</a:t>
          </a:r>
        </a:p>
      </cdr:txBody>
    </cdr:sp>
  </cdr:relSizeAnchor>
  <cdr:relSizeAnchor xmlns:cdr="http://schemas.openxmlformats.org/drawingml/2006/chartDrawing">
    <cdr:from>
      <cdr:x>0.45591</cdr:x>
      <cdr:y>0.88657</cdr:y>
    </cdr:from>
    <cdr:to>
      <cdr:x>0.62397</cdr:x>
      <cdr:y>0.9838</cdr:y>
    </cdr:to>
    <cdr:sp macro="" textlink="">
      <cdr:nvSpPr>
        <cdr:cNvPr id="3" name="TextBox 1"/>
        <cdr:cNvSpPr txBox="1"/>
      </cdr:nvSpPr>
      <cdr:spPr>
        <a:xfrm xmlns:a="http://schemas.openxmlformats.org/drawingml/2006/main">
          <a:off x="1923746" y="2432050"/>
          <a:ext cx="709123" cy="26671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UCS, MPa</a:t>
          </a:r>
        </a:p>
      </cdr:txBody>
    </cdr:sp>
  </cdr:relSizeAnchor>
  <cdr:relSizeAnchor xmlns:cdr="http://schemas.openxmlformats.org/drawingml/2006/chartDrawing">
    <cdr:from>
      <cdr:x>0.31994</cdr:x>
      <cdr:y>0.67219</cdr:y>
    </cdr:from>
    <cdr:to>
      <cdr:x>0.70834</cdr:x>
      <cdr:y>0.76942</cdr:y>
    </cdr:to>
    <cdr:sp macro="" textlink="">
      <cdr:nvSpPr>
        <cdr:cNvPr id="4" name="TextBox 1"/>
        <cdr:cNvSpPr txBox="1"/>
      </cdr:nvSpPr>
      <cdr:spPr>
        <a:xfrm xmlns:a="http://schemas.openxmlformats.org/drawingml/2006/main">
          <a:off x="1350026" y="1843952"/>
          <a:ext cx="1638883" cy="266721"/>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Shear</a:t>
          </a:r>
          <a:r>
            <a:rPr lang="en-US" sz="1200" b="1" baseline="0"/>
            <a:t> Failure (Collapse)</a:t>
          </a:r>
          <a:endParaRPr lang="en-US" sz="1200" b="1"/>
        </a:p>
      </cdr:txBody>
    </cdr:sp>
  </cdr:relSizeAnchor>
  <cdr:relSizeAnchor xmlns:cdr="http://schemas.openxmlformats.org/drawingml/2006/chartDrawing">
    <cdr:from>
      <cdr:x>0.30792</cdr:x>
      <cdr:y>0.16035</cdr:y>
    </cdr:from>
    <cdr:to>
      <cdr:x>0.82861</cdr:x>
      <cdr:y>0.25758</cdr:y>
    </cdr:to>
    <cdr:sp macro="" textlink="">
      <cdr:nvSpPr>
        <cdr:cNvPr id="5" name="TextBox 1"/>
        <cdr:cNvSpPr txBox="1"/>
      </cdr:nvSpPr>
      <cdr:spPr>
        <a:xfrm xmlns:a="http://schemas.openxmlformats.org/drawingml/2006/main">
          <a:off x="1299301" y="439872"/>
          <a:ext cx="2197090" cy="266722"/>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Tensile </a:t>
          </a:r>
          <a:r>
            <a:rPr lang="en-US" sz="1200" b="1" baseline="0"/>
            <a:t>Failure (Lost Circulation)</a:t>
          </a:r>
          <a:endParaRPr lang="en-US" sz="1200" b="1"/>
        </a:p>
      </cdr:txBody>
    </cdr:sp>
  </cdr:relSizeAnchor>
  <cdr:relSizeAnchor xmlns:cdr="http://schemas.openxmlformats.org/drawingml/2006/chartDrawing">
    <cdr:from>
      <cdr:x>0.42739</cdr:x>
      <cdr:y>0.43519</cdr:y>
    </cdr:from>
    <cdr:to>
      <cdr:x>0.81579</cdr:x>
      <cdr:y>0.53242</cdr:y>
    </cdr:to>
    <cdr:sp macro="" textlink="">
      <cdr:nvSpPr>
        <cdr:cNvPr id="6" name="TextBox 1"/>
        <cdr:cNvSpPr txBox="1"/>
      </cdr:nvSpPr>
      <cdr:spPr>
        <a:xfrm xmlns:a="http://schemas.openxmlformats.org/drawingml/2006/main">
          <a:off x="1803400" y="1193800"/>
          <a:ext cx="1638891" cy="266721"/>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Safe Drilling Possibilities</a:t>
          </a:r>
        </a:p>
      </cdr:txBody>
    </cdr:sp>
  </cdr:relSizeAnchor>
</c:userShapes>
</file>

<file path=word/drawings/drawing5.xml><?xml version="1.0" encoding="utf-8"?>
<c:userShapes xmlns:c="http://schemas.openxmlformats.org/drawingml/2006/chart">
  <cdr:relSizeAnchor xmlns:cdr="http://schemas.openxmlformats.org/drawingml/2006/chartDrawing">
    <cdr:from>
      <cdr:x>0.53483</cdr:x>
      <cdr:y>0.90297</cdr:y>
    </cdr:from>
    <cdr:to>
      <cdr:x>0.75056</cdr:x>
      <cdr:y>1</cdr:y>
    </cdr:to>
    <cdr:sp macro="" textlink="">
      <cdr:nvSpPr>
        <cdr:cNvPr id="3" name="TextBox 2"/>
        <cdr:cNvSpPr txBox="1"/>
      </cdr:nvSpPr>
      <cdr:spPr>
        <a:xfrm xmlns:a="http://schemas.openxmlformats.org/drawingml/2006/main">
          <a:off x="2266951" y="2747962"/>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0.33708</cdr:x>
      <cdr:y>0.87167</cdr:y>
    </cdr:from>
    <cdr:to>
      <cdr:x>0.71236</cdr:x>
      <cdr:y>0.95931</cdr:y>
    </cdr:to>
    <cdr:sp macro="" textlink="">
      <cdr:nvSpPr>
        <cdr:cNvPr id="4" name="TextBox 3"/>
        <cdr:cNvSpPr txBox="1"/>
      </cdr:nvSpPr>
      <cdr:spPr>
        <a:xfrm xmlns:a="http://schemas.openxmlformats.org/drawingml/2006/main">
          <a:off x="1428750" y="2652714"/>
          <a:ext cx="1590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Wellbore Pressure, MPa</a:t>
          </a:r>
        </a:p>
      </cdr:txBody>
    </cdr:sp>
  </cdr:relSizeAnchor>
  <cdr:relSizeAnchor xmlns:cdr="http://schemas.openxmlformats.org/drawingml/2006/chartDrawing">
    <cdr:from>
      <cdr:x>0.05656</cdr:x>
      <cdr:y>0.16119</cdr:y>
    </cdr:from>
    <cdr:to>
      <cdr:x>0.11948</cdr:x>
      <cdr:y>0.72457</cdr:y>
    </cdr:to>
    <cdr:sp macro="" textlink="">
      <cdr:nvSpPr>
        <cdr:cNvPr id="5" name="TextBox 1"/>
        <cdr:cNvSpPr txBox="1"/>
      </cdr:nvSpPr>
      <cdr:spPr>
        <a:xfrm xmlns:a="http://schemas.openxmlformats.org/drawingml/2006/main" rot="16200000">
          <a:off x="-484184" y="1214442"/>
          <a:ext cx="1714501"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0.48294</cdr:x>
      <cdr:y>0.42176</cdr:y>
    </cdr:from>
    <cdr:to>
      <cdr:x>0.64174</cdr:x>
      <cdr:y>0.5094</cdr:y>
    </cdr:to>
    <cdr:sp macro="" textlink="">
      <cdr:nvSpPr>
        <cdr:cNvPr id="6" name="TextBox 1"/>
        <cdr:cNvSpPr txBox="1"/>
      </cdr:nvSpPr>
      <cdr:spPr>
        <a:xfrm xmlns:a="http://schemas.openxmlformats.org/drawingml/2006/main" rot="2445873">
          <a:off x="2046988" y="1283379"/>
          <a:ext cx="673094" cy="26668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b="1"/>
            <a:t>Safe Drilling</a:t>
          </a:r>
        </a:p>
      </cdr:txBody>
    </cdr:sp>
  </cdr:relSizeAnchor>
  <cdr:relSizeAnchor xmlns:cdr="http://schemas.openxmlformats.org/drawingml/2006/chartDrawing">
    <cdr:from>
      <cdr:x>0.2412</cdr:x>
      <cdr:y>0.18884</cdr:y>
    </cdr:from>
    <cdr:to>
      <cdr:x>0.27716</cdr:x>
      <cdr:y>0.45488</cdr:y>
    </cdr:to>
    <cdr:sp macro="" textlink="">
      <cdr:nvSpPr>
        <cdr:cNvPr id="8" name="TextBox 1"/>
        <cdr:cNvSpPr txBox="1"/>
      </cdr:nvSpPr>
      <cdr:spPr>
        <a:xfrm xmlns:a="http://schemas.openxmlformats.org/drawingml/2006/main" rot="16200000">
          <a:off x="693745" y="903290"/>
          <a:ext cx="809625" cy="152404"/>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0.36003</cdr:x>
      <cdr:y>0.06559</cdr:y>
    </cdr:from>
    <cdr:to>
      <cdr:x>0.47164</cdr:x>
      <cdr:y>0.17267</cdr:y>
    </cdr:to>
    <cdr:sp macro="" textlink="">
      <cdr:nvSpPr>
        <cdr:cNvPr id="11" name="TextBox 1"/>
        <cdr:cNvSpPr txBox="1"/>
      </cdr:nvSpPr>
      <cdr:spPr>
        <a:xfrm xmlns:a="http://schemas.openxmlformats.org/drawingml/2006/main">
          <a:off x="1526053" y="199572"/>
          <a:ext cx="473073" cy="325836"/>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UBD</a:t>
          </a:r>
        </a:p>
      </cdr:txBody>
    </cdr:sp>
  </cdr:relSizeAnchor>
  <cdr:relSizeAnchor xmlns:cdr="http://schemas.openxmlformats.org/drawingml/2006/chartDrawing">
    <cdr:from>
      <cdr:x>0.53483</cdr:x>
      <cdr:y>0.90297</cdr:y>
    </cdr:from>
    <cdr:to>
      <cdr:x>0.75056</cdr:x>
      <cdr:y>1</cdr:y>
    </cdr:to>
    <cdr:sp macro="" textlink="">
      <cdr:nvSpPr>
        <cdr:cNvPr id="2" name="TextBox 2"/>
        <cdr:cNvSpPr txBox="1"/>
      </cdr:nvSpPr>
      <cdr:spPr>
        <a:xfrm xmlns:a="http://schemas.openxmlformats.org/drawingml/2006/main">
          <a:off x="2266951" y="2747962"/>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0.33708</cdr:x>
      <cdr:y>0.87167</cdr:y>
    </cdr:from>
    <cdr:to>
      <cdr:x>0.71236</cdr:x>
      <cdr:y>0.95931</cdr:y>
    </cdr:to>
    <cdr:sp macro="" textlink="">
      <cdr:nvSpPr>
        <cdr:cNvPr id="12" name="TextBox 3"/>
        <cdr:cNvSpPr txBox="1"/>
      </cdr:nvSpPr>
      <cdr:spPr>
        <a:xfrm xmlns:a="http://schemas.openxmlformats.org/drawingml/2006/main">
          <a:off x="1428750" y="2652714"/>
          <a:ext cx="1590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Wellbore Pressure, MPa</a:t>
          </a:r>
        </a:p>
      </cdr:txBody>
    </cdr:sp>
  </cdr:relSizeAnchor>
  <cdr:relSizeAnchor xmlns:cdr="http://schemas.openxmlformats.org/drawingml/2006/chartDrawing">
    <cdr:from>
      <cdr:x>0.05656</cdr:x>
      <cdr:y>0.16119</cdr:y>
    </cdr:from>
    <cdr:to>
      <cdr:x>0.11948</cdr:x>
      <cdr:y>0.72457</cdr:y>
    </cdr:to>
    <cdr:sp macro="" textlink="">
      <cdr:nvSpPr>
        <cdr:cNvPr id="13" name="TextBox 1"/>
        <cdr:cNvSpPr txBox="1"/>
      </cdr:nvSpPr>
      <cdr:spPr>
        <a:xfrm xmlns:a="http://schemas.openxmlformats.org/drawingml/2006/main" rot="16200000">
          <a:off x="-484184" y="1214442"/>
          <a:ext cx="1714501"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0.72362</cdr:x>
      <cdr:y>0.51065</cdr:y>
    </cdr:from>
    <cdr:to>
      <cdr:x>0.75958</cdr:x>
      <cdr:y>0.77669</cdr:y>
    </cdr:to>
    <cdr:sp macro="" textlink="">
      <cdr:nvSpPr>
        <cdr:cNvPr id="15" name="TextBox 1"/>
        <cdr:cNvSpPr txBox="1"/>
      </cdr:nvSpPr>
      <cdr:spPr>
        <a:xfrm xmlns:a="http://schemas.openxmlformats.org/drawingml/2006/main" rot="16200000">
          <a:off x="2738588" y="1882426"/>
          <a:ext cx="809539" cy="152421"/>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Lost Circulation</a:t>
          </a:r>
        </a:p>
      </cdr:txBody>
    </cdr:sp>
  </cdr:relSizeAnchor>
  <cdr:relSizeAnchor xmlns:cdr="http://schemas.openxmlformats.org/drawingml/2006/chartDrawing">
    <cdr:from>
      <cdr:x>0.2412</cdr:x>
      <cdr:y>0.18884</cdr:y>
    </cdr:from>
    <cdr:to>
      <cdr:x>0.27716</cdr:x>
      <cdr:y>0.45488</cdr:y>
    </cdr:to>
    <cdr:sp macro="" textlink="">
      <cdr:nvSpPr>
        <cdr:cNvPr id="16" name="TextBox 1"/>
        <cdr:cNvSpPr txBox="1"/>
      </cdr:nvSpPr>
      <cdr:spPr>
        <a:xfrm xmlns:a="http://schemas.openxmlformats.org/drawingml/2006/main" rot="16200000">
          <a:off x="693745" y="903290"/>
          <a:ext cx="809625" cy="152404"/>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0.553</cdr:x>
      <cdr:y>0.06939</cdr:y>
    </cdr:from>
    <cdr:to>
      <cdr:x>0.64779</cdr:x>
      <cdr:y>0.17471</cdr:y>
    </cdr:to>
    <cdr:sp macro="" textlink="">
      <cdr:nvSpPr>
        <cdr:cNvPr id="17" name="TextBox 1"/>
        <cdr:cNvSpPr txBox="1"/>
      </cdr:nvSpPr>
      <cdr:spPr>
        <a:xfrm xmlns:a="http://schemas.openxmlformats.org/drawingml/2006/main">
          <a:off x="2343950" y="211153"/>
          <a:ext cx="401779" cy="3204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MPD</a:t>
          </a:r>
        </a:p>
      </cdr:txBody>
    </cdr:sp>
  </cdr:relSizeAnchor>
  <cdr:relSizeAnchor xmlns:cdr="http://schemas.openxmlformats.org/drawingml/2006/chartDrawing">
    <cdr:from>
      <cdr:x>0.65544</cdr:x>
      <cdr:y>0.06933</cdr:y>
    </cdr:from>
    <cdr:to>
      <cdr:x>0.76705</cdr:x>
      <cdr:y>0.17262</cdr:y>
    </cdr:to>
    <cdr:sp macro="" textlink="">
      <cdr:nvSpPr>
        <cdr:cNvPr id="18" name="TextBox 1"/>
        <cdr:cNvSpPr txBox="1"/>
      </cdr:nvSpPr>
      <cdr:spPr>
        <a:xfrm xmlns:a="http://schemas.openxmlformats.org/drawingml/2006/main">
          <a:off x="2778156" y="210957"/>
          <a:ext cx="473073" cy="3143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OBD</a:t>
          </a:r>
        </a:p>
      </cdr:txBody>
    </cdr:sp>
  </cdr:relSizeAnchor>
</c:userShapes>
</file>

<file path=word/drawings/drawing6.xml><?xml version="1.0" encoding="utf-8"?>
<c:userShapes xmlns:c="http://schemas.openxmlformats.org/drawingml/2006/chart">
  <cdr:relSizeAnchor xmlns:cdr="http://schemas.openxmlformats.org/drawingml/2006/chartDrawing">
    <cdr:from>
      <cdr:x>0.53483</cdr:x>
      <cdr:y>0.90297</cdr:y>
    </cdr:from>
    <cdr:to>
      <cdr:x>0.75056</cdr:x>
      <cdr:y>1</cdr:y>
    </cdr:to>
    <cdr:sp macro="" textlink="">
      <cdr:nvSpPr>
        <cdr:cNvPr id="3" name="TextBox 2"/>
        <cdr:cNvSpPr txBox="1"/>
      </cdr:nvSpPr>
      <cdr:spPr>
        <a:xfrm xmlns:a="http://schemas.openxmlformats.org/drawingml/2006/main">
          <a:off x="2266951" y="2747962"/>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0.33708</cdr:x>
      <cdr:y>0.87167</cdr:y>
    </cdr:from>
    <cdr:to>
      <cdr:x>0.71236</cdr:x>
      <cdr:y>0.95931</cdr:y>
    </cdr:to>
    <cdr:sp macro="" textlink="">
      <cdr:nvSpPr>
        <cdr:cNvPr id="4" name="TextBox 3"/>
        <cdr:cNvSpPr txBox="1"/>
      </cdr:nvSpPr>
      <cdr:spPr>
        <a:xfrm xmlns:a="http://schemas.openxmlformats.org/drawingml/2006/main">
          <a:off x="1428750" y="2652714"/>
          <a:ext cx="159067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a:t>Wellbore Pressure, MPa</a:t>
          </a:r>
        </a:p>
      </cdr:txBody>
    </cdr:sp>
  </cdr:relSizeAnchor>
  <cdr:relSizeAnchor xmlns:cdr="http://schemas.openxmlformats.org/drawingml/2006/chartDrawing">
    <cdr:from>
      <cdr:x>0.05656</cdr:x>
      <cdr:y>0.16119</cdr:y>
    </cdr:from>
    <cdr:to>
      <cdr:x>0.11948</cdr:x>
      <cdr:y>0.72457</cdr:y>
    </cdr:to>
    <cdr:sp macro="" textlink="">
      <cdr:nvSpPr>
        <cdr:cNvPr id="5" name="TextBox 1"/>
        <cdr:cNvSpPr txBox="1"/>
      </cdr:nvSpPr>
      <cdr:spPr>
        <a:xfrm xmlns:a="http://schemas.openxmlformats.org/drawingml/2006/main" rot="16200000">
          <a:off x="-484184" y="1214442"/>
          <a:ext cx="1714501" cy="266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Induced</a:t>
          </a:r>
          <a:r>
            <a:rPr lang="en-US" sz="1200" b="1" baseline="0"/>
            <a:t> </a:t>
          </a:r>
          <a:r>
            <a:rPr lang="en-US" sz="1200" b="1"/>
            <a:t>Stresses, MPa</a:t>
          </a:r>
        </a:p>
      </cdr:txBody>
    </cdr:sp>
  </cdr:relSizeAnchor>
  <cdr:relSizeAnchor xmlns:cdr="http://schemas.openxmlformats.org/drawingml/2006/chartDrawing">
    <cdr:from>
      <cdr:x>0.49391</cdr:x>
      <cdr:y>0.31425</cdr:y>
    </cdr:from>
    <cdr:to>
      <cdr:x>0.65271</cdr:x>
      <cdr:y>0.40189</cdr:y>
    </cdr:to>
    <cdr:sp macro="" textlink="">
      <cdr:nvSpPr>
        <cdr:cNvPr id="6" name="TextBox 1"/>
        <cdr:cNvSpPr txBox="1"/>
      </cdr:nvSpPr>
      <cdr:spPr>
        <a:xfrm xmlns:a="http://schemas.openxmlformats.org/drawingml/2006/main" rot="2445873">
          <a:off x="2093494" y="956226"/>
          <a:ext cx="673094" cy="26668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600" b="1"/>
            <a:t>Safe Drilling</a:t>
          </a:r>
        </a:p>
      </cdr:txBody>
    </cdr:sp>
  </cdr:relSizeAnchor>
  <cdr:relSizeAnchor xmlns:cdr="http://schemas.openxmlformats.org/drawingml/2006/chartDrawing">
    <cdr:from>
      <cdr:x>0.71904</cdr:x>
      <cdr:y>0.49929</cdr:y>
    </cdr:from>
    <cdr:to>
      <cdr:x>0.755</cdr:x>
      <cdr:y>0.76533</cdr:y>
    </cdr:to>
    <cdr:sp macro="" textlink="">
      <cdr:nvSpPr>
        <cdr:cNvPr id="7" name="TextBox 1"/>
        <cdr:cNvSpPr txBox="1"/>
      </cdr:nvSpPr>
      <cdr:spPr>
        <a:xfrm xmlns:a="http://schemas.openxmlformats.org/drawingml/2006/main" rot="16200000">
          <a:off x="2719199" y="1847866"/>
          <a:ext cx="809539" cy="152421"/>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Lost Circulation</a:t>
          </a:r>
        </a:p>
      </cdr:txBody>
    </cdr:sp>
  </cdr:relSizeAnchor>
  <cdr:relSizeAnchor xmlns:cdr="http://schemas.openxmlformats.org/drawingml/2006/chartDrawing">
    <cdr:from>
      <cdr:x>0.28061</cdr:x>
      <cdr:y>0.13972</cdr:y>
    </cdr:from>
    <cdr:to>
      <cdr:x>0.3236</cdr:x>
      <cdr:y>0.36696</cdr:y>
    </cdr:to>
    <cdr:sp macro="" textlink="">
      <cdr:nvSpPr>
        <cdr:cNvPr id="8" name="TextBox 1"/>
        <cdr:cNvSpPr txBox="1"/>
      </cdr:nvSpPr>
      <cdr:spPr>
        <a:xfrm xmlns:a="http://schemas.openxmlformats.org/drawingml/2006/main" rot="16200000">
          <a:off x="934773" y="679794"/>
          <a:ext cx="691468" cy="182190"/>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1"/>
            <a:t>Collapse</a:t>
          </a:r>
        </a:p>
      </cdr:txBody>
    </cdr:sp>
  </cdr:relSizeAnchor>
  <cdr:relSizeAnchor xmlns:cdr="http://schemas.openxmlformats.org/drawingml/2006/chartDrawing">
    <cdr:from>
      <cdr:x>0.56554</cdr:x>
      <cdr:y>0.07638</cdr:y>
    </cdr:from>
    <cdr:to>
      <cdr:x>0.66033</cdr:x>
      <cdr:y>0.16745</cdr:y>
    </cdr:to>
    <cdr:sp macro="" textlink="">
      <cdr:nvSpPr>
        <cdr:cNvPr id="9" name="TextBox 1"/>
        <cdr:cNvSpPr txBox="1"/>
      </cdr:nvSpPr>
      <cdr:spPr>
        <a:xfrm xmlns:a="http://schemas.openxmlformats.org/drawingml/2006/main">
          <a:off x="2397113" y="232418"/>
          <a:ext cx="401779" cy="2771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MPD</a:t>
          </a:r>
        </a:p>
      </cdr:txBody>
    </cdr:sp>
  </cdr:relSizeAnchor>
  <cdr:relSizeAnchor xmlns:cdr="http://schemas.openxmlformats.org/drawingml/2006/chartDrawing">
    <cdr:from>
      <cdr:x>0.65293</cdr:x>
      <cdr:y>0.07632</cdr:y>
    </cdr:from>
    <cdr:to>
      <cdr:x>0.76454</cdr:x>
      <cdr:y>0.19567</cdr:y>
    </cdr:to>
    <cdr:sp macro="" textlink="">
      <cdr:nvSpPr>
        <cdr:cNvPr id="10" name="TextBox 1"/>
        <cdr:cNvSpPr txBox="1"/>
      </cdr:nvSpPr>
      <cdr:spPr>
        <a:xfrm xmlns:a="http://schemas.openxmlformats.org/drawingml/2006/main">
          <a:off x="2767522" y="232222"/>
          <a:ext cx="473073" cy="3632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OBD</a:t>
          </a:r>
        </a:p>
      </cdr:txBody>
    </cdr:sp>
  </cdr:relSizeAnchor>
  <cdr:relSizeAnchor xmlns:cdr="http://schemas.openxmlformats.org/drawingml/2006/chartDrawing">
    <cdr:from>
      <cdr:x>0.41767</cdr:x>
      <cdr:y>0.06217</cdr:y>
    </cdr:from>
    <cdr:to>
      <cdr:x>0.52928</cdr:x>
      <cdr:y>0.17616</cdr:y>
    </cdr:to>
    <cdr:sp macro="" textlink="">
      <cdr:nvSpPr>
        <cdr:cNvPr id="11" name="TextBox 1"/>
        <cdr:cNvSpPr txBox="1"/>
      </cdr:nvSpPr>
      <cdr:spPr>
        <a:xfrm xmlns:a="http://schemas.openxmlformats.org/drawingml/2006/main">
          <a:off x="1770359" y="189178"/>
          <a:ext cx="473073" cy="346863"/>
        </a:xfrm>
        <a:prstGeom xmlns:a="http://schemas.openxmlformats.org/drawingml/2006/main" prst="rect">
          <a:avLst/>
        </a:prstGeom>
      </cdr:spPr>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t>UBD</a:t>
          </a:r>
        </a:p>
      </cdr:txBody>
    </cdr:sp>
  </cdr:relSizeAnchor>
</c:userShapes>
</file>

<file path=word/drawings/drawing7.xml><?xml version="1.0" encoding="utf-8"?>
<c:userShapes xmlns:c="http://schemas.openxmlformats.org/drawingml/2006/chart">
  <cdr:relSizeAnchor xmlns:cdr="http://schemas.openxmlformats.org/drawingml/2006/chartDrawing">
    <cdr:from>
      <cdr:x>0.0996</cdr:x>
      <cdr:y>0.85938</cdr:y>
    </cdr:from>
    <cdr:to>
      <cdr:x>0.26892</cdr:x>
      <cdr:y>0.97917</cdr:y>
    </cdr:to>
    <cdr:sp macro="" textlink="">
      <cdr:nvSpPr>
        <cdr:cNvPr id="3" name="TextBox 1"/>
        <cdr:cNvSpPr txBox="1"/>
      </cdr:nvSpPr>
      <cdr:spPr>
        <a:xfrm xmlns:a="http://schemas.openxmlformats.org/drawingml/2006/main">
          <a:off x="476250" y="2357438"/>
          <a:ext cx="809625" cy="328612"/>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Vertical Well</a:t>
          </a:r>
        </a:p>
      </cdr:txBody>
    </cdr:sp>
  </cdr:relSizeAnchor>
  <cdr:relSizeAnchor xmlns:cdr="http://schemas.openxmlformats.org/drawingml/2006/chartDrawing">
    <cdr:from>
      <cdr:x>0.4429</cdr:x>
      <cdr:y>0.8559</cdr:y>
    </cdr:from>
    <cdr:to>
      <cdr:x>0.61222</cdr:x>
      <cdr:y>0.97222</cdr:y>
    </cdr:to>
    <cdr:sp macro="" textlink="">
      <cdr:nvSpPr>
        <cdr:cNvPr id="5" name="TextBox 1"/>
        <cdr:cNvSpPr txBox="1"/>
      </cdr:nvSpPr>
      <cdr:spPr>
        <a:xfrm xmlns:a="http://schemas.openxmlformats.org/drawingml/2006/main">
          <a:off x="2117725" y="2347913"/>
          <a:ext cx="809625" cy="319087"/>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Horizontal Well</a:t>
          </a:r>
        </a:p>
        <a:p xmlns:a="http://schemas.openxmlformats.org/drawingml/2006/main">
          <a:pPr algn="ctr"/>
          <a:r>
            <a:rPr lang="en-US" sz="1000" b="1"/>
            <a:t>//</a:t>
          </a:r>
          <a:r>
            <a:rPr lang="en-US" sz="1000" b="1" baseline="0"/>
            <a:t> Shmin</a:t>
          </a:r>
          <a:endParaRPr lang="en-US" sz="1000" b="1"/>
        </a:p>
      </cdr:txBody>
    </cdr:sp>
  </cdr:relSizeAnchor>
  <cdr:relSizeAnchor xmlns:cdr="http://schemas.openxmlformats.org/drawingml/2006/chartDrawing">
    <cdr:from>
      <cdr:x>0.75739</cdr:x>
      <cdr:y>0.85389</cdr:y>
    </cdr:from>
    <cdr:to>
      <cdr:x>0.92671</cdr:x>
      <cdr:y>0.97021</cdr:y>
    </cdr:to>
    <cdr:sp macro="" textlink="">
      <cdr:nvSpPr>
        <cdr:cNvPr id="6" name="TextBox 1"/>
        <cdr:cNvSpPr txBox="1"/>
      </cdr:nvSpPr>
      <cdr:spPr>
        <a:xfrm xmlns:a="http://schemas.openxmlformats.org/drawingml/2006/main">
          <a:off x="3047729" y="2432742"/>
          <a:ext cx="681339" cy="331395"/>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Horizontal Well</a:t>
          </a:r>
        </a:p>
        <a:p xmlns:a="http://schemas.openxmlformats.org/drawingml/2006/main">
          <a:pPr algn="ctr"/>
          <a:r>
            <a:rPr lang="en-US" sz="1000" b="1"/>
            <a:t>//</a:t>
          </a:r>
          <a:r>
            <a:rPr lang="en-US" sz="1000" b="1" baseline="0"/>
            <a:t> Shmax</a:t>
          </a:r>
          <a:endParaRPr lang="en-US" sz="1000" b="1"/>
        </a:p>
      </cdr:txBody>
    </cdr:sp>
  </cdr:relSizeAnchor>
  <cdr:relSizeAnchor xmlns:cdr="http://schemas.openxmlformats.org/drawingml/2006/chartDrawing">
    <cdr:from>
      <cdr:x>0.04327</cdr:x>
      <cdr:y>0.23329</cdr:y>
    </cdr:from>
    <cdr:to>
      <cdr:x>0.10054</cdr:x>
      <cdr:y>0.73155</cdr:y>
    </cdr:to>
    <cdr:sp macro="" textlink="">
      <cdr:nvSpPr>
        <cdr:cNvPr id="7" name="TextBox 1"/>
        <cdr:cNvSpPr txBox="1"/>
      </cdr:nvSpPr>
      <cdr:spPr>
        <a:xfrm xmlns:a="http://schemas.openxmlformats.org/drawingml/2006/main" rot="16200000">
          <a:off x="-420424" y="1259199"/>
          <a:ext cx="1419540" cy="230453"/>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b="1"/>
            <a:t>Wellbore Pressure, MPa</a:t>
          </a:r>
        </a:p>
      </cdr:txBody>
    </cdr:sp>
  </cdr:relSizeAnchor>
  <cdr:relSizeAnchor xmlns:cdr="http://schemas.openxmlformats.org/drawingml/2006/chartDrawing">
    <cdr:from>
      <cdr:x>0.2876</cdr:x>
      <cdr:y>0.40228</cdr:y>
    </cdr:from>
    <cdr:to>
      <cdr:x>0.60035</cdr:x>
      <cdr:y>0.52207</cdr:y>
    </cdr:to>
    <cdr:sp macro="" textlink="">
      <cdr:nvSpPr>
        <cdr:cNvPr id="8" name="TextBox 1"/>
        <cdr:cNvSpPr txBox="1"/>
      </cdr:nvSpPr>
      <cdr:spPr>
        <a:xfrm xmlns:a="http://schemas.openxmlformats.org/drawingml/2006/main">
          <a:off x="1157305" y="1146089"/>
          <a:ext cx="1258498" cy="341281"/>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Safe Drilling Window</a:t>
          </a:r>
        </a:p>
      </cdr:txBody>
    </cdr:sp>
  </cdr:relSizeAnchor>
  <cdr:relSizeAnchor xmlns:cdr="http://schemas.openxmlformats.org/drawingml/2006/chartDrawing">
    <cdr:from>
      <cdr:x>0.35471</cdr:x>
      <cdr:y>0.17469</cdr:y>
    </cdr:from>
    <cdr:to>
      <cdr:x>0.66746</cdr:x>
      <cdr:y>0.26397</cdr:y>
    </cdr:to>
    <cdr:sp macro="" textlink="">
      <cdr:nvSpPr>
        <cdr:cNvPr id="9" name="TextBox 1"/>
        <cdr:cNvSpPr txBox="1"/>
      </cdr:nvSpPr>
      <cdr:spPr>
        <a:xfrm xmlns:a="http://schemas.openxmlformats.org/drawingml/2006/main">
          <a:off x="1422400" y="431800"/>
          <a:ext cx="1254125" cy="220663"/>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Borehole Fracturing</a:t>
          </a:r>
        </a:p>
      </cdr:txBody>
    </cdr:sp>
  </cdr:relSizeAnchor>
  <cdr:relSizeAnchor xmlns:cdr="http://schemas.openxmlformats.org/drawingml/2006/chartDrawing">
    <cdr:from>
      <cdr:x>0.36896</cdr:x>
      <cdr:y>0.73346</cdr:y>
    </cdr:from>
    <cdr:to>
      <cdr:x>0.68171</cdr:x>
      <cdr:y>0.82274</cdr:y>
    </cdr:to>
    <cdr:sp macro="" textlink="">
      <cdr:nvSpPr>
        <cdr:cNvPr id="10" name="TextBox 1"/>
        <cdr:cNvSpPr txBox="1"/>
      </cdr:nvSpPr>
      <cdr:spPr>
        <a:xfrm xmlns:a="http://schemas.openxmlformats.org/drawingml/2006/main">
          <a:off x="1479550" y="1812925"/>
          <a:ext cx="1254125" cy="220663"/>
        </a:xfrm>
        <a:prstGeom xmlns:a="http://schemas.openxmlformats.org/drawingml/2006/main" prst="rect">
          <a:avLst/>
        </a:prstGeom>
        <a:noFill xmlns:a="http://schemas.openxmlformats.org/drawingml/2006/mai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b="1"/>
            <a:t>Borehole Collapse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IRMS</vt:lpstr>
    </vt:vector>
  </TitlesOfParts>
  <Company>Hokkaido University</Company>
  <LinksUpToDate>false</LinksUpToDate>
  <CharactersWithSpaces>18962</CharactersWithSpaces>
  <SharedDoc>false</SharedDoc>
  <HLinks>
    <vt:vector size="12" baseType="variant">
      <vt:variant>
        <vt:i4>7340051</vt:i4>
      </vt:variant>
      <vt:variant>
        <vt:i4>6</vt:i4>
      </vt:variant>
      <vt:variant>
        <vt:i4>0</vt:i4>
      </vt:variant>
      <vt:variant>
        <vt:i4>5</vt:i4>
      </vt:variant>
      <vt:variant>
        <vt:lpwstr>mailto:arms9@petromindo.com</vt:lpwstr>
      </vt:variant>
      <vt:variant>
        <vt:lpwstr/>
      </vt:variant>
      <vt:variant>
        <vt:i4>6225966</vt:i4>
      </vt:variant>
      <vt:variant>
        <vt:i4>0</vt:i4>
      </vt:variant>
      <vt:variant>
        <vt:i4>0</vt:i4>
      </vt:variant>
      <vt:variant>
        <vt:i4>5</vt:i4>
      </vt:variant>
      <vt:variant>
        <vt:lpwstr>mailto:first.author@rock.co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IRMS</dc:title>
  <dc:creator>RAT</dc:creator>
  <cp:lastModifiedBy>User</cp:lastModifiedBy>
  <cp:revision>3</cp:revision>
  <cp:lastPrinted>2016-08-13T19:27:00Z</cp:lastPrinted>
  <dcterms:created xsi:type="dcterms:W3CDTF">2016-08-13T19:27:00Z</dcterms:created>
  <dcterms:modified xsi:type="dcterms:W3CDTF">2016-08-13T19:30:00Z</dcterms:modified>
</cp:coreProperties>
</file>